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DB" w:rsidRPr="00C44BC0" w:rsidRDefault="007521DB">
      <w:pPr>
        <w:pStyle w:val="Heading1"/>
        <w:spacing w:before="78"/>
        <w:ind w:left="6065" w:firstLine="0"/>
        <w:rPr>
          <w:sz w:val="14"/>
          <w:szCs w:val="14"/>
        </w:rPr>
      </w:pPr>
    </w:p>
    <w:p w:rsidR="00210A86" w:rsidRDefault="007521DB" w:rsidP="007521DB">
      <w:pPr>
        <w:pStyle w:val="Heading1"/>
        <w:spacing w:before="78"/>
        <w:rPr>
          <w:rFonts w:ascii="Arial" w:hAnsi="Arial" w:cs="Arial"/>
          <w:b w:val="0"/>
          <w:bCs w:val="0"/>
          <w:sz w:val="28"/>
          <w:szCs w:val="28"/>
          <w:lang w:val="en-US"/>
        </w:rPr>
      </w:pPr>
      <w:r>
        <w:rPr>
          <w:rFonts w:ascii="Arial" w:hAnsi="Arial" w:cs="Arial"/>
          <w:b w:val="0"/>
          <w:bCs w:val="0"/>
          <w:sz w:val="28"/>
          <w:szCs w:val="28"/>
          <w:lang w:val="en-US"/>
        </w:rPr>
        <w:t xml:space="preserve">                                          </w:t>
      </w:r>
      <w:r w:rsidRPr="007521DB">
        <w:rPr>
          <w:rFonts w:ascii="Arial" w:hAnsi="Arial" w:cs="Arial"/>
          <w:bCs w:val="0"/>
          <w:sz w:val="28"/>
          <w:szCs w:val="28"/>
          <w:lang w:val="en-US"/>
        </w:rPr>
        <w:object w:dxaOrig="1296" w:dyaOrig="1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8pt" o:ole="">
            <v:imagedata r:id="rId5" o:title=""/>
          </v:shape>
          <o:OLEObject Type="Embed" ProgID="CorelDRAW.Graphic.9" ShapeID="_x0000_i1025" DrawAspect="Content" ObjectID="_1676996546" r:id="rId6"/>
        </w:object>
      </w:r>
    </w:p>
    <w:p w:rsidR="007521DB" w:rsidRPr="007521DB" w:rsidRDefault="007521DB" w:rsidP="007521DB">
      <w:pPr>
        <w:pStyle w:val="Heading1"/>
        <w:spacing w:before="78"/>
        <w:rPr>
          <w:rFonts w:ascii="Arial" w:hAnsi="Arial" w:cs="Arial"/>
          <w:b w:val="0"/>
          <w:bCs w:val="0"/>
          <w:sz w:val="10"/>
          <w:szCs w:val="10"/>
          <w:lang w:val="en-US"/>
        </w:rPr>
      </w:pPr>
    </w:p>
    <w:p w:rsidR="00210A86" w:rsidRPr="000666C1" w:rsidRDefault="00CC31E2">
      <w:pPr>
        <w:pStyle w:val="Title"/>
        <w:rPr>
          <w:rFonts w:ascii="Times New Roman" w:hAnsi="Times New Roman" w:cs="Times New Roman"/>
          <w:sz w:val="32"/>
          <w:szCs w:val="32"/>
        </w:rPr>
      </w:pPr>
      <w:r w:rsidRPr="000666C1">
        <w:rPr>
          <w:rFonts w:ascii="Times New Roman" w:hAnsi="Times New Roman" w:cs="Times New Roman"/>
          <w:sz w:val="32"/>
          <w:szCs w:val="32"/>
        </w:rPr>
        <w:t>Avis d’appel d’offres (AAO)</w:t>
      </w:r>
    </w:p>
    <w:p w:rsidR="007521DB" w:rsidRPr="000666C1" w:rsidRDefault="007521DB" w:rsidP="007521DB">
      <w:pPr>
        <w:pStyle w:val="Title"/>
        <w:ind w:right="100"/>
        <w:rPr>
          <w:rFonts w:ascii="Times New Roman" w:hAnsi="Times New Roman" w:cs="Times New Roman"/>
          <w:b w:val="0"/>
          <w:sz w:val="18"/>
          <w:szCs w:val="18"/>
        </w:rPr>
      </w:pPr>
      <w:r w:rsidRPr="000666C1">
        <w:rPr>
          <w:rFonts w:ascii="Times New Roman" w:hAnsi="Times New Roman" w:cs="Times New Roman"/>
          <w:b w:val="0"/>
          <w:sz w:val="18"/>
          <w:szCs w:val="18"/>
        </w:rPr>
        <w:t xml:space="preserve">                                                                                                      </w:t>
      </w:r>
      <w:r w:rsidR="000666C1">
        <w:rPr>
          <w:rFonts w:ascii="Times New Roman" w:hAnsi="Times New Roman" w:cs="Times New Roman"/>
          <w:b w:val="0"/>
          <w:sz w:val="18"/>
          <w:szCs w:val="18"/>
        </w:rPr>
        <w:t xml:space="preserve">                                      </w:t>
      </w:r>
      <w:r w:rsidRPr="000666C1">
        <w:rPr>
          <w:rFonts w:ascii="Times New Roman" w:hAnsi="Times New Roman" w:cs="Times New Roman"/>
          <w:b w:val="0"/>
          <w:sz w:val="18"/>
          <w:szCs w:val="18"/>
        </w:rPr>
        <w:t>Date : 1</w:t>
      </w:r>
      <w:r w:rsidR="0077117C">
        <w:rPr>
          <w:rFonts w:ascii="Times New Roman" w:hAnsi="Times New Roman" w:cs="Times New Roman"/>
          <w:b w:val="0"/>
          <w:sz w:val="18"/>
          <w:szCs w:val="18"/>
        </w:rPr>
        <w:t>7</w:t>
      </w:r>
      <w:r w:rsidRPr="000666C1">
        <w:rPr>
          <w:rFonts w:ascii="Times New Roman" w:hAnsi="Times New Roman" w:cs="Times New Roman"/>
          <w:b w:val="0"/>
          <w:sz w:val="18"/>
          <w:szCs w:val="18"/>
        </w:rPr>
        <w:t xml:space="preserve"> Mars 2021</w:t>
      </w:r>
    </w:p>
    <w:p w:rsidR="000666C1" w:rsidRPr="00C44BC0" w:rsidRDefault="000666C1" w:rsidP="007521DB">
      <w:pPr>
        <w:pStyle w:val="Title"/>
        <w:ind w:right="100"/>
        <w:rPr>
          <w:rFonts w:ascii="Times New Roman" w:hAnsi="Times New Roman" w:cs="Times New Roman"/>
          <w:b w:val="0"/>
          <w:sz w:val="12"/>
          <w:szCs w:val="12"/>
        </w:rPr>
      </w:pPr>
    </w:p>
    <w:p w:rsidR="007521DB" w:rsidRPr="000666C1" w:rsidRDefault="000666C1" w:rsidP="000666C1">
      <w:pPr>
        <w:pStyle w:val="NoSpacing"/>
        <w:ind w:left="810" w:right="190"/>
        <w:jc w:val="both"/>
        <w:rPr>
          <w:rFonts w:ascii="Times New Roman" w:hAnsi="Times New Roman" w:cs="Times New Roman"/>
          <w:b/>
          <w:sz w:val="26"/>
          <w:szCs w:val="26"/>
          <w:u w:val="single"/>
        </w:rPr>
      </w:pPr>
      <w:r w:rsidRPr="000666C1">
        <w:rPr>
          <w:rFonts w:ascii="Times New Roman" w:hAnsi="Times New Roman" w:cs="Times New Roman"/>
          <w:b/>
          <w:sz w:val="26"/>
          <w:szCs w:val="26"/>
          <w:u w:val="single"/>
        </w:rPr>
        <w:t xml:space="preserve">APPEL D’OFFRES </w:t>
      </w:r>
      <w:r w:rsidRPr="000666C1">
        <w:rPr>
          <w:rFonts w:ascii="Times New Roman" w:hAnsi="Times New Roman" w:cs="Times New Roman"/>
          <w:b/>
          <w:spacing w:val="-4"/>
          <w:sz w:val="26"/>
          <w:szCs w:val="26"/>
          <w:u w:val="single"/>
        </w:rPr>
        <w:t>INTERNATIONAL</w:t>
      </w:r>
      <w:r w:rsidRPr="000666C1">
        <w:rPr>
          <w:rFonts w:ascii="Times New Roman" w:hAnsi="Times New Roman" w:cs="Times New Roman"/>
          <w:b/>
          <w:spacing w:val="62"/>
          <w:sz w:val="26"/>
          <w:szCs w:val="26"/>
          <w:u w:val="single"/>
        </w:rPr>
        <w:t xml:space="preserve"> </w:t>
      </w:r>
      <w:r w:rsidRPr="000666C1">
        <w:rPr>
          <w:rFonts w:ascii="Times New Roman" w:hAnsi="Times New Roman" w:cs="Times New Roman"/>
          <w:b/>
          <w:sz w:val="26"/>
          <w:szCs w:val="26"/>
          <w:u w:val="single"/>
        </w:rPr>
        <w:t xml:space="preserve">POUR LA </w:t>
      </w:r>
      <w:r w:rsidRPr="000666C1">
        <w:rPr>
          <w:rFonts w:ascii="Times New Roman" w:hAnsi="Times New Roman" w:cs="Times New Roman"/>
          <w:b/>
          <w:spacing w:val="-4"/>
          <w:sz w:val="26"/>
          <w:szCs w:val="26"/>
          <w:u w:val="single"/>
        </w:rPr>
        <w:t xml:space="preserve">REHABILITATION </w:t>
      </w:r>
      <w:r w:rsidRPr="000666C1">
        <w:rPr>
          <w:rFonts w:ascii="Times New Roman" w:hAnsi="Times New Roman" w:cs="Times New Roman"/>
          <w:b/>
          <w:sz w:val="26"/>
          <w:szCs w:val="26"/>
          <w:u w:val="single"/>
        </w:rPr>
        <w:t>DES NOUVEAUX BUREAUX DE LA COUR DE JUSTICE DE LA CEDEAO A ABUJA</w:t>
      </w:r>
      <w:r w:rsidR="00BB1A7F" w:rsidRPr="000666C1">
        <w:rPr>
          <w:rFonts w:ascii="Times New Roman" w:hAnsi="Times New Roman" w:cs="Times New Roman"/>
          <w:b/>
          <w:sz w:val="26"/>
          <w:szCs w:val="26"/>
          <w:u w:val="single"/>
        </w:rPr>
        <w:t>, NIGERIA</w:t>
      </w:r>
    </w:p>
    <w:p w:rsidR="007521DB" w:rsidRDefault="007521DB" w:rsidP="007521DB">
      <w:pPr>
        <w:spacing w:before="284"/>
        <w:ind w:right="-110"/>
        <w:rPr>
          <w:rFonts w:ascii="Times New Roman" w:hAnsi="Times New Roman" w:cs="Times New Roman"/>
          <w:b/>
          <w:i/>
        </w:rPr>
      </w:pPr>
      <w:r w:rsidRPr="000666C1">
        <w:rPr>
          <w:rFonts w:ascii="Times New Roman" w:hAnsi="Times New Roman" w:cs="Times New Roman"/>
          <w:i/>
          <w:sz w:val="24"/>
        </w:rPr>
        <w:t xml:space="preserve">                                     </w:t>
      </w:r>
      <w:r w:rsidR="000666C1">
        <w:rPr>
          <w:rFonts w:ascii="Times New Roman" w:hAnsi="Times New Roman" w:cs="Times New Roman"/>
          <w:i/>
          <w:sz w:val="24"/>
        </w:rPr>
        <w:t xml:space="preserve">    </w:t>
      </w:r>
      <w:r w:rsidR="000666C1" w:rsidRPr="000666C1">
        <w:rPr>
          <w:rFonts w:ascii="Times New Roman" w:hAnsi="Times New Roman" w:cs="Times New Roman"/>
          <w:i/>
          <w:sz w:val="24"/>
        </w:rPr>
        <w:t xml:space="preserve"> </w:t>
      </w:r>
      <w:r w:rsidRPr="000666C1">
        <w:rPr>
          <w:rFonts w:ascii="Times New Roman" w:hAnsi="Times New Roman" w:cs="Times New Roman"/>
          <w:i/>
          <w:sz w:val="24"/>
        </w:rPr>
        <w:t xml:space="preserve">Identification du marché : </w:t>
      </w:r>
      <w:r w:rsidRPr="000666C1">
        <w:rPr>
          <w:rFonts w:ascii="Times New Roman" w:hAnsi="Times New Roman" w:cs="Times New Roman"/>
          <w:b/>
          <w:i/>
        </w:rPr>
        <w:t>AOI/01/TRAVAUX /Cour de Justice /2020-21</w:t>
      </w:r>
    </w:p>
    <w:p w:rsidR="000666C1" w:rsidRPr="000666C1" w:rsidRDefault="000666C1" w:rsidP="007521DB">
      <w:pPr>
        <w:spacing w:before="284"/>
        <w:ind w:right="-110"/>
        <w:rPr>
          <w:rFonts w:ascii="Times New Roman" w:hAnsi="Times New Roman" w:cs="Times New Roman"/>
          <w:b/>
          <w:sz w:val="6"/>
          <w:szCs w:val="6"/>
        </w:rPr>
      </w:pPr>
    </w:p>
    <w:p w:rsidR="007521DB" w:rsidRPr="000666C1" w:rsidRDefault="007521DB" w:rsidP="007521DB">
      <w:pPr>
        <w:pStyle w:val="Title"/>
        <w:rPr>
          <w:sz w:val="32"/>
          <w:szCs w:val="32"/>
        </w:rPr>
      </w:pPr>
      <w:r w:rsidRPr="000666C1">
        <w:rPr>
          <w:sz w:val="32"/>
          <w:szCs w:val="32"/>
        </w:rPr>
        <w:t>Avis d’appel d’offres (AAO)</w:t>
      </w:r>
    </w:p>
    <w:p w:rsidR="00210A86" w:rsidRDefault="00CC31E2">
      <w:pPr>
        <w:pStyle w:val="ListParagraph"/>
        <w:numPr>
          <w:ilvl w:val="0"/>
          <w:numId w:val="2"/>
        </w:numPr>
        <w:tabs>
          <w:tab w:val="left" w:pos="782"/>
        </w:tabs>
        <w:spacing w:line="225" w:lineRule="auto"/>
        <w:ind w:left="781" w:right="115"/>
        <w:jc w:val="both"/>
        <w:rPr>
          <w:i/>
          <w:sz w:val="24"/>
        </w:rPr>
      </w:pPr>
      <w:r>
        <w:rPr>
          <w:sz w:val="24"/>
        </w:rPr>
        <w:t>La</w:t>
      </w:r>
      <w:r>
        <w:rPr>
          <w:spacing w:val="-6"/>
          <w:sz w:val="24"/>
        </w:rPr>
        <w:t xml:space="preserve"> </w:t>
      </w:r>
      <w:r>
        <w:rPr>
          <w:sz w:val="24"/>
        </w:rPr>
        <w:t>Cour</w:t>
      </w:r>
      <w:r>
        <w:rPr>
          <w:spacing w:val="-4"/>
          <w:sz w:val="24"/>
        </w:rPr>
        <w:t xml:space="preserve"> </w:t>
      </w:r>
      <w:r>
        <w:rPr>
          <w:sz w:val="24"/>
        </w:rPr>
        <w:t>de</w:t>
      </w:r>
      <w:r>
        <w:rPr>
          <w:spacing w:val="-4"/>
          <w:sz w:val="24"/>
        </w:rPr>
        <w:t xml:space="preserve"> </w:t>
      </w:r>
      <w:r>
        <w:rPr>
          <w:sz w:val="24"/>
        </w:rPr>
        <w:t>Justice</w:t>
      </w:r>
      <w:r>
        <w:rPr>
          <w:spacing w:val="-4"/>
          <w:sz w:val="24"/>
        </w:rPr>
        <w:t xml:space="preserve"> </w:t>
      </w:r>
      <w:r>
        <w:rPr>
          <w:sz w:val="24"/>
        </w:rPr>
        <w:t>de</w:t>
      </w:r>
      <w:r>
        <w:rPr>
          <w:spacing w:val="-5"/>
          <w:sz w:val="24"/>
        </w:rPr>
        <w:t xml:space="preserve"> </w:t>
      </w:r>
      <w:r>
        <w:rPr>
          <w:sz w:val="24"/>
        </w:rPr>
        <w:t>la</w:t>
      </w:r>
      <w:r>
        <w:rPr>
          <w:spacing w:val="-6"/>
          <w:sz w:val="24"/>
        </w:rPr>
        <w:t xml:space="preserve"> </w:t>
      </w:r>
      <w:r>
        <w:rPr>
          <w:sz w:val="24"/>
        </w:rPr>
        <w:t>CEDEAO</w:t>
      </w:r>
      <w:r>
        <w:rPr>
          <w:spacing w:val="-4"/>
          <w:sz w:val="24"/>
        </w:rPr>
        <w:t xml:space="preserve"> </w:t>
      </w:r>
      <w:r>
        <w:rPr>
          <w:sz w:val="24"/>
        </w:rPr>
        <w:t>a</w:t>
      </w:r>
      <w:r>
        <w:rPr>
          <w:spacing w:val="-6"/>
          <w:sz w:val="24"/>
        </w:rPr>
        <w:t xml:space="preserve"> </w:t>
      </w:r>
      <w:r>
        <w:rPr>
          <w:sz w:val="24"/>
        </w:rPr>
        <w:t>alloué</w:t>
      </w:r>
      <w:r>
        <w:rPr>
          <w:spacing w:val="-4"/>
          <w:sz w:val="24"/>
        </w:rPr>
        <w:t xml:space="preserve"> </w:t>
      </w:r>
      <w:r>
        <w:rPr>
          <w:sz w:val="24"/>
        </w:rPr>
        <w:t>ses</w:t>
      </w:r>
      <w:r>
        <w:rPr>
          <w:spacing w:val="-6"/>
          <w:sz w:val="24"/>
        </w:rPr>
        <w:t xml:space="preserve"> </w:t>
      </w:r>
      <w:r>
        <w:rPr>
          <w:sz w:val="24"/>
        </w:rPr>
        <w:t>fonds</w:t>
      </w:r>
      <w:r>
        <w:rPr>
          <w:spacing w:val="-4"/>
          <w:sz w:val="24"/>
        </w:rPr>
        <w:t xml:space="preserve"> </w:t>
      </w:r>
      <w:r>
        <w:rPr>
          <w:sz w:val="24"/>
        </w:rPr>
        <w:t>propres</w:t>
      </w:r>
      <w:r>
        <w:rPr>
          <w:spacing w:val="-4"/>
          <w:sz w:val="24"/>
        </w:rPr>
        <w:t xml:space="preserve"> </w:t>
      </w:r>
      <w:r>
        <w:rPr>
          <w:sz w:val="24"/>
        </w:rPr>
        <w:t>au</w:t>
      </w:r>
      <w:r>
        <w:rPr>
          <w:spacing w:val="-5"/>
          <w:sz w:val="24"/>
        </w:rPr>
        <w:t xml:space="preserve"> </w:t>
      </w:r>
      <w:r>
        <w:rPr>
          <w:sz w:val="24"/>
        </w:rPr>
        <w:t>financement</w:t>
      </w:r>
      <w:r>
        <w:rPr>
          <w:spacing w:val="-5"/>
          <w:sz w:val="24"/>
        </w:rPr>
        <w:t xml:space="preserve"> </w:t>
      </w:r>
      <w:r>
        <w:rPr>
          <w:sz w:val="24"/>
        </w:rPr>
        <w:t xml:space="preserve">de la réhabilitation </w:t>
      </w:r>
      <w:r w:rsidR="00A73828">
        <w:rPr>
          <w:sz w:val="24"/>
        </w:rPr>
        <w:t>de ses nouveaux Bureaux à Abuja</w:t>
      </w:r>
      <w:r>
        <w:rPr>
          <w:sz w:val="24"/>
        </w:rPr>
        <w:t xml:space="preserve">, en </w:t>
      </w:r>
      <w:r w:rsidR="00A60B5D">
        <w:rPr>
          <w:sz w:val="24"/>
        </w:rPr>
        <w:t xml:space="preserve">République </w:t>
      </w:r>
      <w:r w:rsidR="00A60B5D" w:rsidRPr="00DB2CE5">
        <w:t>Fédérale du Nigéria.</w:t>
      </w:r>
    </w:p>
    <w:p w:rsidR="00210A86" w:rsidRPr="00C44BC0" w:rsidRDefault="00210A86">
      <w:pPr>
        <w:spacing w:before="5"/>
        <w:rPr>
          <w:sz w:val="12"/>
          <w:szCs w:val="12"/>
        </w:rPr>
      </w:pPr>
    </w:p>
    <w:p w:rsidR="00210A86" w:rsidRPr="00DB2CE5" w:rsidRDefault="00CC31E2" w:rsidP="00DB2CE5">
      <w:pPr>
        <w:pStyle w:val="ListParagraph"/>
        <w:numPr>
          <w:ilvl w:val="0"/>
          <w:numId w:val="2"/>
        </w:numPr>
        <w:tabs>
          <w:tab w:val="left" w:pos="782"/>
        </w:tabs>
        <w:spacing w:line="232" w:lineRule="auto"/>
        <w:ind w:left="781" w:right="118"/>
        <w:jc w:val="both"/>
        <w:rPr>
          <w:b/>
          <w:sz w:val="24"/>
        </w:rPr>
      </w:pPr>
      <w:r>
        <w:rPr>
          <w:sz w:val="24"/>
        </w:rPr>
        <w:t>La Cour de Justice de la CEDEAO invite par conséquent tous les soumissionnaires intéressés à déposer leur dossier sous plis fermés pour les travaux</w:t>
      </w:r>
      <w:r>
        <w:rPr>
          <w:spacing w:val="-6"/>
          <w:sz w:val="24"/>
        </w:rPr>
        <w:t xml:space="preserve"> </w:t>
      </w:r>
      <w:r>
        <w:rPr>
          <w:sz w:val="24"/>
        </w:rPr>
        <w:t>de</w:t>
      </w:r>
      <w:r>
        <w:rPr>
          <w:spacing w:val="-10"/>
          <w:sz w:val="24"/>
        </w:rPr>
        <w:t xml:space="preserve"> </w:t>
      </w:r>
      <w:r>
        <w:rPr>
          <w:sz w:val="24"/>
        </w:rPr>
        <w:t>réhabilitation</w:t>
      </w:r>
      <w:r>
        <w:rPr>
          <w:spacing w:val="-10"/>
          <w:sz w:val="24"/>
        </w:rPr>
        <w:t xml:space="preserve"> </w:t>
      </w:r>
      <w:r>
        <w:rPr>
          <w:sz w:val="24"/>
        </w:rPr>
        <w:t>en</w:t>
      </w:r>
      <w:r>
        <w:rPr>
          <w:spacing w:val="-10"/>
          <w:sz w:val="24"/>
        </w:rPr>
        <w:t xml:space="preserve"> </w:t>
      </w:r>
      <w:r>
        <w:rPr>
          <w:sz w:val="24"/>
        </w:rPr>
        <w:t>un</w:t>
      </w:r>
      <w:r>
        <w:rPr>
          <w:spacing w:val="-9"/>
          <w:sz w:val="24"/>
        </w:rPr>
        <w:t xml:space="preserve"> </w:t>
      </w:r>
      <w:r>
        <w:rPr>
          <w:sz w:val="24"/>
        </w:rPr>
        <w:t>seul</w:t>
      </w:r>
      <w:r>
        <w:rPr>
          <w:spacing w:val="-9"/>
          <w:sz w:val="24"/>
        </w:rPr>
        <w:t xml:space="preserve"> </w:t>
      </w:r>
      <w:r>
        <w:rPr>
          <w:sz w:val="24"/>
        </w:rPr>
        <w:t>lot,</w:t>
      </w:r>
      <w:r>
        <w:rPr>
          <w:spacing w:val="-8"/>
          <w:sz w:val="24"/>
        </w:rPr>
        <w:t xml:space="preserve"> </w:t>
      </w:r>
      <w:r>
        <w:rPr>
          <w:sz w:val="24"/>
        </w:rPr>
        <w:t>de</w:t>
      </w:r>
      <w:r>
        <w:rPr>
          <w:spacing w:val="-8"/>
          <w:sz w:val="24"/>
        </w:rPr>
        <w:t xml:space="preserve"> </w:t>
      </w:r>
      <w:r>
        <w:rPr>
          <w:sz w:val="24"/>
        </w:rPr>
        <w:t>ses</w:t>
      </w:r>
      <w:r>
        <w:rPr>
          <w:spacing w:val="-10"/>
          <w:sz w:val="24"/>
        </w:rPr>
        <w:t xml:space="preserve"> </w:t>
      </w:r>
      <w:r>
        <w:rPr>
          <w:sz w:val="24"/>
        </w:rPr>
        <w:t>Bureaux</w:t>
      </w:r>
      <w:r>
        <w:rPr>
          <w:spacing w:val="-9"/>
          <w:sz w:val="24"/>
        </w:rPr>
        <w:t xml:space="preserve"> </w:t>
      </w:r>
      <w:r>
        <w:rPr>
          <w:sz w:val="24"/>
        </w:rPr>
        <w:t>construction</w:t>
      </w:r>
      <w:r w:rsidRPr="00DB2CE5">
        <w:rPr>
          <w:sz w:val="24"/>
        </w:rPr>
        <w:t>,</w:t>
      </w:r>
      <w:r>
        <w:rPr>
          <w:b/>
          <w:spacing w:val="-8"/>
          <w:sz w:val="24"/>
        </w:rPr>
        <w:t xml:space="preserve"> </w:t>
      </w:r>
      <w:r>
        <w:rPr>
          <w:b/>
          <w:sz w:val="24"/>
        </w:rPr>
        <w:t>à</w:t>
      </w:r>
      <w:r>
        <w:rPr>
          <w:b/>
          <w:spacing w:val="-7"/>
          <w:sz w:val="24"/>
        </w:rPr>
        <w:t xml:space="preserve"> </w:t>
      </w:r>
      <w:r>
        <w:rPr>
          <w:b/>
          <w:sz w:val="24"/>
        </w:rPr>
        <w:t>Abuja</w:t>
      </w:r>
      <w:r w:rsidRPr="00DB2CE5">
        <w:t>, en</w:t>
      </w:r>
      <w:r w:rsidR="00DB2CE5" w:rsidRPr="00DB2CE5">
        <w:t xml:space="preserve"> République Fédérale du Nigéria</w:t>
      </w:r>
      <w:r w:rsidRPr="00DB2CE5">
        <w:t>.</w:t>
      </w:r>
    </w:p>
    <w:p w:rsidR="00210A86" w:rsidRPr="00C44BC0" w:rsidRDefault="00210A86">
      <w:pPr>
        <w:spacing w:before="11"/>
        <w:rPr>
          <w:b/>
          <w:sz w:val="12"/>
          <w:szCs w:val="12"/>
        </w:rPr>
      </w:pPr>
    </w:p>
    <w:p w:rsidR="00B7023A" w:rsidRDefault="005507C5" w:rsidP="005507C5">
      <w:pPr>
        <w:pStyle w:val="ListParagraph"/>
        <w:numPr>
          <w:ilvl w:val="0"/>
          <w:numId w:val="2"/>
        </w:numPr>
        <w:tabs>
          <w:tab w:val="left" w:pos="782"/>
        </w:tabs>
        <w:spacing w:line="230" w:lineRule="auto"/>
        <w:ind w:right="118"/>
        <w:jc w:val="both"/>
        <w:rPr>
          <w:sz w:val="24"/>
        </w:rPr>
      </w:pPr>
      <w:r w:rsidRPr="005507C5">
        <w:rPr>
          <w:sz w:val="24"/>
        </w:rPr>
        <w:t>Le dossier d'appel d'offres peut être obtenu auprès de la Cour de justice de la CEDEAO, Direction de l'administration et des finances, Cour de justice de la CEDEAO, 23 Agadez Street, Wuse 2, Abuja, Nigeria, sur présentation d'une demande écrite par courrier électronique à la Cour de justice de la CEDEAO et paiement d'un droit non remboursable d'un montant total de deux cents dollars US (200 USD).</w:t>
      </w:r>
    </w:p>
    <w:p w:rsidR="005507C5" w:rsidRPr="00C44BC0" w:rsidRDefault="005507C5" w:rsidP="005507C5">
      <w:pPr>
        <w:pStyle w:val="ListParagraph"/>
        <w:rPr>
          <w:sz w:val="12"/>
          <w:szCs w:val="12"/>
        </w:rPr>
      </w:pPr>
    </w:p>
    <w:p w:rsidR="005507C5" w:rsidRPr="00B7023A" w:rsidRDefault="005507C5" w:rsidP="005507C5">
      <w:pPr>
        <w:pStyle w:val="ListParagraph"/>
        <w:tabs>
          <w:tab w:val="left" w:pos="782"/>
        </w:tabs>
        <w:spacing w:line="230" w:lineRule="auto"/>
        <w:ind w:left="782" w:right="118" w:firstLine="0"/>
        <w:jc w:val="both"/>
        <w:rPr>
          <w:sz w:val="24"/>
        </w:rPr>
      </w:pPr>
      <w:r w:rsidRPr="005507C5">
        <w:rPr>
          <w:sz w:val="24"/>
        </w:rPr>
        <w:t>Le dossier d'appel d'offres sera remis par voie électronique à tous les soumissionnaires intéressés après paiement (par virement) de frais non remboursables de 200,00 USD à la Cour de justice de la CEDEAO (frais de virement à la charge du soumissionnaire). (Les détails du compte sont disponibles sur demande).</w:t>
      </w:r>
    </w:p>
    <w:p w:rsidR="00B7023A" w:rsidRPr="00C44BC0" w:rsidRDefault="000666C1" w:rsidP="000666C1">
      <w:pPr>
        <w:pStyle w:val="ListParagraph"/>
        <w:tabs>
          <w:tab w:val="left" w:pos="782"/>
          <w:tab w:val="left" w:pos="1614"/>
        </w:tabs>
        <w:spacing w:line="230" w:lineRule="auto"/>
        <w:ind w:left="781" w:right="118" w:firstLine="0"/>
        <w:rPr>
          <w:sz w:val="10"/>
          <w:szCs w:val="10"/>
        </w:rPr>
      </w:pPr>
      <w:r>
        <w:rPr>
          <w:sz w:val="24"/>
        </w:rPr>
        <w:tab/>
      </w:r>
      <w:r w:rsidRPr="000666C1">
        <w:rPr>
          <w:sz w:val="12"/>
          <w:szCs w:val="12"/>
        </w:rPr>
        <w:tab/>
      </w:r>
    </w:p>
    <w:p w:rsidR="000666C1" w:rsidRDefault="005507C5" w:rsidP="00523F54">
      <w:pPr>
        <w:pStyle w:val="BodyText"/>
        <w:numPr>
          <w:ilvl w:val="0"/>
          <w:numId w:val="2"/>
        </w:numPr>
        <w:spacing w:before="52" w:line="288" w:lineRule="auto"/>
        <w:ind w:right="118"/>
        <w:jc w:val="both"/>
        <w:rPr>
          <w:rFonts w:ascii="Tahoma" w:eastAsia="Tahoma" w:hAnsi="Tahoma" w:cs="Tahoma"/>
          <w:szCs w:val="22"/>
        </w:rPr>
      </w:pPr>
      <w:r w:rsidRPr="00523F54">
        <w:rPr>
          <w:rFonts w:ascii="Tahoma" w:eastAsia="Tahoma" w:hAnsi="Tahoma" w:cs="Tahoma"/>
          <w:szCs w:val="22"/>
        </w:rPr>
        <w:t xml:space="preserve">Les soumissionnaires intéressés peuvent obtenir de plus amples informations à l'adresse ci-dessous, pendant les heures de bureau : </w:t>
      </w:r>
      <w:proofErr w:type="gramStart"/>
      <w:r w:rsidRPr="00523F54">
        <w:rPr>
          <w:rFonts w:ascii="Tahoma" w:eastAsia="Tahoma" w:hAnsi="Tahoma" w:cs="Tahoma"/>
          <w:szCs w:val="22"/>
        </w:rPr>
        <w:t>Les lundi</w:t>
      </w:r>
      <w:proofErr w:type="gramEnd"/>
      <w:r w:rsidRPr="00523F54">
        <w:rPr>
          <w:rFonts w:ascii="Tahoma" w:eastAsia="Tahoma" w:hAnsi="Tahoma" w:cs="Tahoma"/>
          <w:szCs w:val="22"/>
        </w:rPr>
        <w:t>, mercredi et vendredi de 9h00 (8h00 GMT+1) à 16h00 (15h00 GMT+1). Toutes les demandes doivent être adressées à la Cour</w:t>
      </w:r>
      <w:r w:rsidR="000666C1">
        <w:rPr>
          <w:rFonts w:ascii="Tahoma" w:eastAsia="Tahoma" w:hAnsi="Tahoma" w:cs="Tahoma"/>
          <w:szCs w:val="22"/>
        </w:rPr>
        <w:t xml:space="preserve"> de justice de la CEDEAO, Email</w:t>
      </w:r>
      <w:r w:rsidRPr="00523F54">
        <w:rPr>
          <w:rFonts w:ascii="Tahoma" w:eastAsia="Tahoma" w:hAnsi="Tahoma" w:cs="Tahoma"/>
          <w:szCs w:val="22"/>
        </w:rPr>
        <w:t xml:space="preserve">: </w:t>
      </w:r>
      <w:hyperlink r:id="rId7" w:history="1">
        <w:r w:rsidR="000666C1" w:rsidRPr="00EC3B91">
          <w:rPr>
            <w:rStyle w:val="Hyperlink"/>
            <w:rFonts w:ascii="Tahoma" w:eastAsia="Tahoma" w:hAnsi="Tahoma" w:cs="Tahoma"/>
            <w:szCs w:val="22"/>
          </w:rPr>
          <w:t>wtowah@courtecowas.org</w:t>
        </w:r>
      </w:hyperlink>
      <w:r w:rsidR="000666C1">
        <w:rPr>
          <w:rFonts w:ascii="Tahoma" w:eastAsia="Tahoma" w:hAnsi="Tahoma" w:cs="Tahoma"/>
          <w:szCs w:val="22"/>
        </w:rPr>
        <w:t xml:space="preserve"> </w:t>
      </w:r>
      <w:r w:rsidRPr="00523F54">
        <w:rPr>
          <w:rFonts w:ascii="Tahoma" w:eastAsia="Tahoma" w:hAnsi="Tahoma" w:cs="Tahoma"/>
          <w:szCs w:val="22"/>
        </w:rPr>
        <w:t>et doivent être accompagnées d</w:t>
      </w:r>
      <w:r w:rsidR="000666C1">
        <w:rPr>
          <w:rFonts w:ascii="Tahoma" w:eastAsia="Tahoma" w:hAnsi="Tahoma" w:cs="Tahoma"/>
          <w:szCs w:val="22"/>
        </w:rPr>
        <w:t xml:space="preserve">'une copie de </w:t>
      </w:r>
      <w:hyperlink r:id="rId8" w:history="1">
        <w:r w:rsidR="000666C1" w:rsidRPr="000666C1">
          <w:rPr>
            <w:rStyle w:val="Hyperlink"/>
            <w:rFonts w:ascii="Tahoma" w:eastAsia="Tahoma" w:hAnsi="Tahoma" w:cs="Tahoma"/>
            <w:color w:val="auto"/>
            <w:szCs w:val="22"/>
            <w:u w:val="none"/>
          </w:rPr>
          <w:t>d_towah@yahoo.com</w:t>
        </w:r>
      </w:hyperlink>
      <w:r w:rsidR="000666C1" w:rsidRPr="000666C1">
        <w:rPr>
          <w:rFonts w:ascii="Tahoma" w:eastAsia="Tahoma" w:hAnsi="Tahoma" w:cs="Tahoma"/>
          <w:szCs w:val="22"/>
        </w:rPr>
        <w:t>;</w:t>
      </w:r>
      <w:r w:rsidR="000666C1">
        <w:rPr>
          <w:rFonts w:ascii="Tahoma" w:eastAsia="Tahoma" w:hAnsi="Tahoma" w:cs="Tahoma"/>
          <w:szCs w:val="22"/>
        </w:rPr>
        <w:t xml:space="preserve"> </w:t>
      </w:r>
      <w:r w:rsidRPr="00523F54">
        <w:rPr>
          <w:rFonts w:ascii="Tahoma" w:eastAsia="Tahoma" w:hAnsi="Tahoma" w:cs="Tahoma"/>
          <w:szCs w:val="22"/>
        </w:rPr>
        <w:t>sbangoura@eco</w:t>
      </w:r>
      <w:r w:rsidR="000666C1">
        <w:rPr>
          <w:rFonts w:ascii="Tahoma" w:eastAsia="Tahoma" w:hAnsi="Tahoma" w:cs="Tahoma"/>
          <w:szCs w:val="22"/>
        </w:rPr>
        <w:t>was.int; cimah@courtecowas.org</w:t>
      </w:r>
      <w:r w:rsidRPr="00523F54">
        <w:rPr>
          <w:rFonts w:ascii="Tahoma" w:eastAsia="Tahoma" w:hAnsi="Tahoma" w:cs="Tahoma"/>
          <w:szCs w:val="22"/>
        </w:rPr>
        <w:t>; charlesiv_2001@y</w:t>
      </w:r>
      <w:r w:rsidR="000666C1">
        <w:rPr>
          <w:rFonts w:ascii="Tahoma" w:eastAsia="Tahoma" w:hAnsi="Tahoma" w:cs="Tahoma"/>
          <w:szCs w:val="22"/>
        </w:rPr>
        <w:t xml:space="preserve">ahoo.com; </w:t>
      </w:r>
    </w:p>
    <w:p w:rsidR="005507C5" w:rsidRPr="00C44BC0" w:rsidRDefault="000666C1" w:rsidP="00C44BC0">
      <w:pPr>
        <w:pStyle w:val="BodyText"/>
        <w:spacing w:before="52"/>
        <w:ind w:left="782" w:right="118"/>
        <w:jc w:val="both"/>
        <w:rPr>
          <w:rFonts w:ascii="Tahoma" w:eastAsia="Tahoma" w:hAnsi="Tahoma" w:cs="Tahoma"/>
          <w:b/>
          <w:sz w:val="23"/>
          <w:szCs w:val="23"/>
        </w:rPr>
      </w:pPr>
      <w:r>
        <w:rPr>
          <w:rFonts w:ascii="Tahoma" w:eastAsia="Tahoma" w:hAnsi="Tahoma" w:cs="Tahoma"/>
          <w:szCs w:val="22"/>
        </w:rPr>
        <w:t>NB</w:t>
      </w:r>
      <w:r w:rsidR="005507C5" w:rsidRPr="00523F54">
        <w:rPr>
          <w:rFonts w:ascii="Tahoma" w:eastAsia="Tahoma" w:hAnsi="Tahoma" w:cs="Tahoma"/>
          <w:szCs w:val="22"/>
        </w:rPr>
        <w:t xml:space="preserve">: </w:t>
      </w:r>
      <w:r w:rsidR="005507C5" w:rsidRPr="008C74C1">
        <w:rPr>
          <w:rFonts w:ascii="Tahoma" w:eastAsia="Tahoma" w:hAnsi="Tahoma" w:cs="Tahoma"/>
          <w:b/>
        </w:rPr>
        <w:t xml:space="preserve">Il y aura une visite obligatoire du site le </w:t>
      </w:r>
      <w:r w:rsidR="0077117C">
        <w:rPr>
          <w:rFonts w:ascii="Tahoma" w:eastAsia="Tahoma" w:hAnsi="Tahoma" w:cs="Tahoma"/>
          <w:b/>
        </w:rPr>
        <w:t>12</w:t>
      </w:r>
      <w:r w:rsidR="005507C5" w:rsidRPr="008C74C1">
        <w:rPr>
          <w:rFonts w:ascii="Tahoma" w:eastAsia="Tahoma" w:hAnsi="Tahoma" w:cs="Tahoma"/>
          <w:b/>
        </w:rPr>
        <w:t xml:space="preserve"> </w:t>
      </w:r>
      <w:r w:rsidR="0077117C">
        <w:rPr>
          <w:rFonts w:ascii="Tahoma" w:eastAsia="Tahoma" w:hAnsi="Tahoma" w:cs="Tahoma"/>
          <w:b/>
        </w:rPr>
        <w:t>avril</w:t>
      </w:r>
      <w:r w:rsidR="005507C5" w:rsidRPr="008C74C1">
        <w:rPr>
          <w:rFonts w:ascii="Tahoma" w:eastAsia="Tahoma" w:hAnsi="Tahoma" w:cs="Tahoma"/>
          <w:b/>
        </w:rPr>
        <w:t xml:space="preserve"> 2021, à 10 h. 30mn.</w:t>
      </w:r>
      <w:r w:rsidR="005507C5" w:rsidRPr="00523F54">
        <w:rPr>
          <w:rFonts w:ascii="Tahoma" w:eastAsia="Tahoma" w:hAnsi="Tahoma" w:cs="Tahoma"/>
          <w:szCs w:val="22"/>
        </w:rPr>
        <w:t xml:space="preserve"> </w:t>
      </w:r>
      <w:r w:rsidR="00523F54" w:rsidRPr="00523F54">
        <w:rPr>
          <w:rFonts w:ascii="Tahoma" w:hAnsi="Tahoma" w:cs="Tahoma"/>
        </w:rPr>
        <w:t xml:space="preserve">Tous les soumissionnaires devront s’assurer de participer à leur propre frais à cette visite de site .Tout soumissionnaire qui ne participera pas à cette visite verra son offre rejetée par le Comité d’évaluation. </w:t>
      </w:r>
      <w:r w:rsidR="005507C5" w:rsidRPr="00C44BC0">
        <w:rPr>
          <w:rFonts w:ascii="Tahoma" w:eastAsia="Tahoma" w:hAnsi="Tahoma" w:cs="Tahoma"/>
          <w:b/>
          <w:sz w:val="23"/>
          <w:szCs w:val="23"/>
        </w:rPr>
        <w:t>Il y aura également une conférence de pré-candidature le 1</w:t>
      </w:r>
      <w:r w:rsidR="0077117C">
        <w:rPr>
          <w:rFonts w:ascii="Tahoma" w:eastAsia="Tahoma" w:hAnsi="Tahoma" w:cs="Tahoma"/>
          <w:b/>
          <w:sz w:val="23"/>
          <w:szCs w:val="23"/>
        </w:rPr>
        <w:t>9</w:t>
      </w:r>
      <w:r w:rsidR="005507C5" w:rsidRPr="00C44BC0">
        <w:rPr>
          <w:rFonts w:ascii="Tahoma" w:eastAsia="Tahoma" w:hAnsi="Tahoma" w:cs="Tahoma"/>
          <w:b/>
          <w:sz w:val="23"/>
          <w:szCs w:val="23"/>
        </w:rPr>
        <w:t xml:space="preserve"> avril 2021 à 16h00, via la plate-forme virtuelle.</w:t>
      </w:r>
    </w:p>
    <w:p w:rsidR="005507C5" w:rsidRPr="00C44BC0" w:rsidRDefault="005507C5" w:rsidP="005507C5">
      <w:pPr>
        <w:pStyle w:val="BodyText"/>
        <w:spacing w:before="52" w:line="288" w:lineRule="auto"/>
        <w:ind w:left="100" w:right="118"/>
        <w:jc w:val="both"/>
        <w:rPr>
          <w:rFonts w:ascii="Tahoma" w:eastAsia="Tahoma" w:hAnsi="Tahoma" w:cs="Tahoma"/>
          <w:sz w:val="4"/>
          <w:szCs w:val="4"/>
        </w:rPr>
      </w:pPr>
    </w:p>
    <w:p w:rsidR="00210A86" w:rsidRPr="00523F54" w:rsidRDefault="00CC31E2" w:rsidP="00523F54">
      <w:pPr>
        <w:pStyle w:val="ListParagraph"/>
        <w:numPr>
          <w:ilvl w:val="0"/>
          <w:numId w:val="2"/>
        </w:numPr>
        <w:spacing w:before="1"/>
        <w:ind w:left="810" w:hanging="720"/>
        <w:jc w:val="both"/>
        <w:rPr>
          <w:sz w:val="24"/>
        </w:rPr>
        <w:sectPr w:rsidR="00210A86" w:rsidRPr="00523F54" w:rsidSect="007521DB">
          <w:type w:val="continuous"/>
          <w:pgSz w:w="11910" w:h="16840"/>
          <w:pgMar w:top="180" w:right="1110" w:bottom="280" w:left="1340" w:header="720" w:footer="720" w:gutter="0"/>
          <w:cols w:space="720"/>
        </w:sectPr>
      </w:pPr>
      <w:r w:rsidRPr="00523F54">
        <w:rPr>
          <w:sz w:val="24"/>
        </w:rPr>
        <w:t>Les</w:t>
      </w:r>
      <w:r w:rsidRPr="00523F54">
        <w:rPr>
          <w:spacing w:val="7"/>
          <w:sz w:val="24"/>
        </w:rPr>
        <w:t xml:space="preserve"> </w:t>
      </w:r>
      <w:r w:rsidRPr="00523F54">
        <w:rPr>
          <w:sz w:val="24"/>
        </w:rPr>
        <w:t>soumissions</w:t>
      </w:r>
      <w:r w:rsidRPr="00523F54">
        <w:rPr>
          <w:spacing w:val="8"/>
          <w:sz w:val="24"/>
        </w:rPr>
        <w:t xml:space="preserve"> </w:t>
      </w:r>
      <w:r w:rsidRPr="00523F54">
        <w:rPr>
          <w:sz w:val="24"/>
        </w:rPr>
        <w:t>sont</w:t>
      </w:r>
      <w:r w:rsidRPr="00523F54">
        <w:rPr>
          <w:spacing w:val="6"/>
          <w:sz w:val="24"/>
        </w:rPr>
        <w:t xml:space="preserve"> </w:t>
      </w:r>
      <w:r w:rsidRPr="00523F54">
        <w:rPr>
          <w:sz w:val="24"/>
        </w:rPr>
        <w:t>valables</w:t>
      </w:r>
      <w:r w:rsidRPr="00523F54">
        <w:rPr>
          <w:spacing w:val="9"/>
          <w:sz w:val="24"/>
        </w:rPr>
        <w:t xml:space="preserve"> </w:t>
      </w:r>
      <w:r w:rsidRPr="00523F54">
        <w:rPr>
          <w:sz w:val="24"/>
        </w:rPr>
        <w:t>pour</w:t>
      </w:r>
      <w:r w:rsidRPr="00523F54">
        <w:rPr>
          <w:spacing w:val="8"/>
          <w:sz w:val="24"/>
        </w:rPr>
        <w:t xml:space="preserve"> </w:t>
      </w:r>
      <w:r w:rsidRPr="00523F54">
        <w:rPr>
          <w:sz w:val="24"/>
        </w:rPr>
        <w:t>une</w:t>
      </w:r>
      <w:r w:rsidRPr="00523F54">
        <w:rPr>
          <w:spacing w:val="8"/>
          <w:sz w:val="24"/>
        </w:rPr>
        <w:t xml:space="preserve"> </w:t>
      </w:r>
      <w:r w:rsidRPr="00523F54">
        <w:rPr>
          <w:sz w:val="24"/>
        </w:rPr>
        <w:t>durée</w:t>
      </w:r>
      <w:r w:rsidRPr="00523F54">
        <w:rPr>
          <w:spacing w:val="8"/>
          <w:sz w:val="24"/>
        </w:rPr>
        <w:t xml:space="preserve"> </w:t>
      </w:r>
      <w:r w:rsidRPr="00523F54">
        <w:rPr>
          <w:sz w:val="24"/>
        </w:rPr>
        <w:t>de</w:t>
      </w:r>
      <w:r w:rsidRPr="00523F54">
        <w:rPr>
          <w:spacing w:val="12"/>
          <w:sz w:val="24"/>
        </w:rPr>
        <w:t xml:space="preserve"> </w:t>
      </w:r>
      <w:r w:rsidRPr="00523F54">
        <w:rPr>
          <w:sz w:val="24"/>
        </w:rPr>
        <w:t>120</w:t>
      </w:r>
      <w:r w:rsidRPr="00523F54">
        <w:rPr>
          <w:spacing w:val="9"/>
          <w:sz w:val="24"/>
        </w:rPr>
        <w:t xml:space="preserve"> </w:t>
      </w:r>
      <w:r w:rsidRPr="00523F54">
        <w:rPr>
          <w:sz w:val="24"/>
        </w:rPr>
        <w:t>jours</w:t>
      </w:r>
      <w:r w:rsidRPr="00523F54">
        <w:rPr>
          <w:spacing w:val="9"/>
          <w:sz w:val="24"/>
        </w:rPr>
        <w:t xml:space="preserve"> </w:t>
      </w:r>
      <w:r w:rsidRPr="00523F54">
        <w:rPr>
          <w:sz w:val="24"/>
        </w:rPr>
        <w:t>suivant</w:t>
      </w:r>
      <w:r w:rsidRPr="00523F54">
        <w:rPr>
          <w:spacing w:val="7"/>
          <w:sz w:val="24"/>
        </w:rPr>
        <w:t xml:space="preserve"> </w:t>
      </w:r>
      <w:r w:rsidRPr="00523F54">
        <w:rPr>
          <w:sz w:val="24"/>
        </w:rPr>
        <w:t>l’ouverture</w:t>
      </w:r>
      <w:r w:rsidRPr="00523F54">
        <w:rPr>
          <w:spacing w:val="8"/>
          <w:sz w:val="24"/>
        </w:rPr>
        <w:t xml:space="preserve"> </w:t>
      </w:r>
      <w:r w:rsidR="00523F54" w:rsidRPr="00523F54">
        <w:rPr>
          <w:spacing w:val="8"/>
          <w:sz w:val="24"/>
        </w:rPr>
        <w:t xml:space="preserve">  </w:t>
      </w:r>
      <w:r w:rsidRPr="00523F54">
        <w:rPr>
          <w:sz w:val="24"/>
        </w:rPr>
        <w:t>de</w:t>
      </w:r>
      <w:r w:rsidR="00523F54" w:rsidRPr="00523F54">
        <w:rPr>
          <w:sz w:val="24"/>
        </w:rPr>
        <w:t xml:space="preserve"> la soumission et doivent être accompagnées d’u</w:t>
      </w:r>
      <w:r w:rsidR="008C74C1">
        <w:rPr>
          <w:sz w:val="24"/>
        </w:rPr>
        <w:t>n dépôt de garantie de 15.000 $</w:t>
      </w:r>
      <w:r w:rsidR="00523F54" w:rsidRPr="00523F54">
        <w:rPr>
          <w:sz w:val="24"/>
        </w:rPr>
        <w:t>US (Caution bancaire ou Assurance de cautionnement).</w:t>
      </w:r>
    </w:p>
    <w:p w:rsidR="00210A86" w:rsidRDefault="00720675" w:rsidP="00720675">
      <w:pPr>
        <w:pStyle w:val="ListParagraph"/>
        <w:numPr>
          <w:ilvl w:val="0"/>
          <w:numId w:val="2"/>
        </w:numPr>
        <w:tabs>
          <w:tab w:val="left" w:pos="810"/>
        </w:tabs>
        <w:spacing w:before="266"/>
        <w:ind w:left="376" w:hanging="277"/>
        <w:jc w:val="left"/>
        <w:rPr>
          <w:sz w:val="24"/>
        </w:rPr>
      </w:pPr>
      <w:r>
        <w:rPr>
          <w:spacing w:val="-2"/>
          <w:sz w:val="24"/>
        </w:rPr>
        <w:lastRenderedPageBreak/>
        <w:t xml:space="preserve">      </w:t>
      </w:r>
      <w:r w:rsidR="00CC31E2">
        <w:rPr>
          <w:spacing w:val="-2"/>
          <w:sz w:val="24"/>
        </w:rPr>
        <w:t xml:space="preserve">Les </w:t>
      </w:r>
      <w:r w:rsidR="00CC31E2">
        <w:rPr>
          <w:spacing w:val="-3"/>
          <w:sz w:val="24"/>
        </w:rPr>
        <w:t xml:space="preserve">Critères de post </w:t>
      </w:r>
      <w:r w:rsidR="00CC31E2">
        <w:rPr>
          <w:spacing w:val="-4"/>
          <w:sz w:val="24"/>
        </w:rPr>
        <w:t xml:space="preserve">qualification </w:t>
      </w:r>
      <w:r w:rsidR="00CC31E2">
        <w:rPr>
          <w:sz w:val="24"/>
        </w:rPr>
        <w:t xml:space="preserve">sont </w:t>
      </w:r>
      <w:r w:rsidR="00CC31E2">
        <w:rPr>
          <w:spacing w:val="-3"/>
          <w:sz w:val="24"/>
        </w:rPr>
        <w:t>les suivants</w:t>
      </w:r>
      <w:r w:rsidR="00CC31E2">
        <w:rPr>
          <w:spacing w:val="-30"/>
          <w:sz w:val="24"/>
        </w:rPr>
        <w:t xml:space="preserve"> </w:t>
      </w:r>
      <w:r w:rsidR="00CC31E2">
        <w:rPr>
          <w:sz w:val="24"/>
        </w:rPr>
        <w:t>:</w:t>
      </w:r>
    </w:p>
    <w:p w:rsidR="00210A86" w:rsidRPr="006A10DC" w:rsidRDefault="00CC31E2" w:rsidP="00502D65">
      <w:pPr>
        <w:pStyle w:val="ListParagraph"/>
        <w:numPr>
          <w:ilvl w:val="1"/>
          <w:numId w:val="2"/>
        </w:numPr>
        <w:tabs>
          <w:tab w:val="left" w:pos="895"/>
        </w:tabs>
        <w:spacing w:before="235"/>
        <w:ind w:hanging="361"/>
        <w:rPr>
          <w:sz w:val="24"/>
        </w:rPr>
      </w:pPr>
      <w:r w:rsidRPr="006A10DC">
        <w:rPr>
          <w:sz w:val="24"/>
        </w:rPr>
        <w:t>Fournir</w:t>
      </w:r>
      <w:r w:rsidRPr="006A10DC">
        <w:rPr>
          <w:spacing w:val="19"/>
          <w:sz w:val="24"/>
        </w:rPr>
        <w:t xml:space="preserve"> </w:t>
      </w:r>
      <w:r w:rsidRPr="006A10DC">
        <w:rPr>
          <w:sz w:val="24"/>
        </w:rPr>
        <w:t>les</w:t>
      </w:r>
      <w:r w:rsidRPr="006A10DC">
        <w:rPr>
          <w:spacing w:val="21"/>
          <w:sz w:val="24"/>
        </w:rPr>
        <w:t xml:space="preserve"> </w:t>
      </w:r>
      <w:r w:rsidRPr="006A10DC">
        <w:rPr>
          <w:sz w:val="24"/>
        </w:rPr>
        <w:t>états</w:t>
      </w:r>
      <w:r w:rsidRPr="006A10DC">
        <w:rPr>
          <w:spacing w:val="23"/>
          <w:sz w:val="24"/>
        </w:rPr>
        <w:t xml:space="preserve"> </w:t>
      </w:r>
      <w:r w:rsidRPr="006A10DC">
        <w:rPr>
          <w:sz w:val="24"/>
        </w:rPr>
        <w:t>financiers</w:t>
      </w:r>
      <w:r w:rsidRPr="006A10DC">
        <w:rPr>
          <w:spacing w:val="20"/>
          <w:sz w:val="24"/>
        </w:rPr>
        <w:t xml:space="preserve"> </w:t>
      </w:r>
      <w:r w:rsidRPr="006A10DC">
        <w:rPr>
          <w:sz w:val="24"/>
        </w:rPr>
        <w:t>audités</w:t>
      </w:r>
      <w:r w:rsidRPr="006A10DC">
        <w:rPr>
          <w:spacing w:val="21"/>
          <w:sz w:val="24"/>
        </w:rPr>
        <w:t xml:space="preserve"> </w:t>
      </w:r>
      <w:r w:rsidRPr="006A10DC">
        <w:rPr>
          <w:sz w:val="24"/>
        </w:rPr>
        <w:t>indiquant</w:t>
      </w:r>
      <w:r w:rsidRPr="006A10DC">
        <w:rPr>
          <w:spacing w:val="21"/>
          <w:sz w:val="24"/>
        </w:rPr>
        <w:t xml:space="preserve"> </w:t>
      </w:r>
      <w:r w:rsidRPr="006A10DC">
        <w:rPr>
          <w:sz w:val="24"/>
        </w:rPr>
        <w:t>le</w:t>
      </w:r>
      <w:r w:rsidRPr="006A10DC">
        <w:rPr>
          <w:spacing w:val="20"/>
          <w:sz w:val="24"/>
        </w:rPr>
        <w:t xml:space="preserve"> </w:t>
      </w:r>
      <w:r w:rsidRPr="006A10DC">
        <w:rPr>
          <w:sz w:val="24"/>
        </w:rPr>
        <w:t>Chiffre</w:t>
      </w:r>
      <w:r w:rsidRPr="006A10DC">
        <w:rPr>
          <w:spacing w:val="19"/>
          <w:sz w:val="24"/>
        </w:rPr>
        <w:t xml:space="preserve"> </w:t>
      </w:r>
      <w:r w:rsidRPr="006A10DC">
        <w:rPr>
          <w:sz w:val="24"/>
        </w:rPr>
        <w:t>d’Affaires</w:t>
      </w:r>
      <w:r w:rsidRPr="006A10DC">
        <w:rPr>
          <w:spacing w:val="23"/>
          <w:sz w:val="24"/>
        </w:rPr>
        <w:t xml:space="preserve"> </w:t>
      </w:r>
      <w:r w:rsidRPr="006A10DC">
        <w:rPr>
          <w:sz w:val="24"/>
        </w:rPr>
        <w:t>moyen</w:t>
      </w:r>
      <w:r w:rsidRPr="006A10DC">
        <w:rPr>
          <w:spacing w:val="23"/>
          <w:sz w:val="24"/>
        </w:rPr>
        <w:t xml:space="preserve"> </w:t>
      </w:r>
      <w:r w:rsidRPr="006A10DC">
        <w:rPr>
          <w:sz w:val="24"/>
        </w:rPr>
        <w:t>des</w:t>
      </w:r>
      <w:r w:rsidRPr="006A10DC">
        <w:rPr>
          <w:spacing w:val="21"/>
          <w:sz w:val="24"/>
        </w:rPr>
        <w:t xml:space="preserve"> </w:t>
      </w:r>
      <w:r w:rsidRPr="006A10DC">
        <w:rPr>
          <w:sz w:val="24"/>
        </w:rPr>
        <w:t>Cinq</w:t>
      </w:r>
      <w:r w:rsidR="006A10DC" w:rsidRPr="006A10DC">
        <w:rPr>
          <w:sz w:val="24"/>
        </w:rPr>
        <w:t xml:space="preserve"> </w:t>
      </w:r>
      <w:r w:rsidR="0052153D" w:rsidRPr="006A10DC">
        <w:rPr>
          <w:sz w:val="24"/>
        </w:rPr>
        <w:t>(05) dernières années (</w:t>
      </w:r>
      <w:r w:rsidRPr="006A10DC">
        <w:rPr>
          <w:b/>
          <w:sz w:val="24"/>
        </w:rPr>
        <w:t>2015,</w:t>
      </w:r>
      <w:r w:rsidR="00C42713" w:rsidRPr="006A10DC">
        <w:rPr>
          <w:b/>
          <w:sz w:val="24"/>
        </w:rPr>
        <w:t xml:space="preserve"> </w:t>
      </w:r>
      <w:r w:rsidRPr="006A10DC">
        <w:rPr>
          <w:b/>
          <w:sz w:val="24"/>
        </w:rPr>
        <w:t>2016, 2017,</w:t>
      </w:r>
      <w:r w:rsidR="00C42713" w:rsidRPr="006A10DC">
        <w:rPr>
          <w:b/>
          <w:sz w:val="24"/>
        </w:rPr>
        <w:t xml:space="preserve"> </w:t>
      </w:r>
      <w:r w:rsidRPr="006A10DC">
        <w:rPr>
          <w:b/>
          <w:sz w:val="24"/>
        </w:rPr>
        <w:t>2018, 2019</w:t>
      </w:r>
      <w:r w:rsidRPr="006A10DC">
        <w:rPr>
          <w:sz w:val="24"/>
        </w:rPr>
        <w:t>) au moins égal au double du montant de la soumission.</w:t>
      </w:r>
    </w:p>
    <w:p w:rsidR="00210A86" w:rsidRPr="00720675" w:rsidRDefault="00210A86">
      <w:pPr>
        <w:pStyle w:val="BodyText"/>
        <w:spacing w:before="10"/>
        <w:rPr>
          <w:sz w:val="12"/>
          <w:szCs w:val="12"/>
        </w:rPr>
      </w:pPr>
    </w:p>
    <w:p w:rsidR="00210A86" w:rsidRPr="006A10DC" w:rsidRDefault="00CC31E2">
      <w:pPr>
        <w:ind w:left="534" w:right="189"/>
        <w:jc w:val="both"/>
        <w:rPr>
          <w:i/>
          <w:sz w:val="24"/>
        </w:rPr>
      </w:pPr>
      <w:r w:rsidRPr="006A10DC">
        <w:rPr>
          <w:i/>
          <w:sz w:val="24"/>
        </w:rPr>
        <w:t>NB : Les états financiers devront être dument signés par l’Auditeur avec une indication précise de l’adresse et contact du Cabinet d’audit pour les besoins de vérification si nécessaire.</w:t>
      </w:r>
    </w:p>
    <w:p w:rsidR="00210A86" w:rsidRPr="00720675" w:rsidRDefault="00210A86">
      <w:pPr>
        <w:pStyle w:val="BodyText"/>
        <w:spacing w:before="11"/>
        <w:rPr>
          <w:sz w:val="12"/>
          <w:szCs w:val="12"/>
        </w:rPr>
      </w:pPr>
    </w:p>
    <w:p w:rsidR="00210A86" w:rsidRPr="006A10DC" w:rsidRDefault="00CC31E2">
      <w:pPr>
        <w:pStyle w:val="ListParagraph"/>
        <w:numPr>
          <w:ilvl w:val="1"/>
          <w:numId w:val="2"/>
        </w:numPr>
        <w:tabs>
          <w:tab w:val="left" w:pos="895"/>
        </w:tabs>
        <w:ind w:right="192"/>
        <w:jc w:val="both"/>
        <w:rPr>
          <w:sz w:val="24"/>
        </w:rPr>
      </w:pPr>
      <w:r w:rsidRPr="006A10DC">
        <w:rPr>
          <w:sz w:val="24"/>
        </w:rPr>
        <w:t>Avoir exécuté comme Principal Contractant au moins un (01) Contrat similaire au cours</w:t>
      </w:r>
      <w:r w:rsidR="00346876" w:rsidRPr="006A10DC">
        <w:rPr>
          <w:sz w:val="24"/>
        </w:rPr>
        <w:t xml:space="preserve"> des cinq(5) dernières années (</w:t>
      </w:r>
      <w:r w:rsidRPr="006A10DC">
        <w:rPr>
          <w:sz w:val="24"/>
        </w:rPr>
        <w:t>2015, 2016,</w:t>
      </w:r>
      <w:r w:rsidR="00520ECD" w:rsidRPr="006A10DC">
        <w:rPr>
          <w:sz w:val="24"/>
        </w:rPr>
        <w:t xml:space="preserve"> 2017</w:t>
      </w:r>
      <w:r w:rsidRPr="006A10DC">
        <w:rPr>
          <w:sz w:val="24"/>
        </w:rPr>
        <w:t xml:space="preserve">, </w:t>
      </w:r>
      <w:r w:rsidR="00C42713" w:rsidRPr="006A10DC">
        <w:rPr>
          <w:sz w:val="24"/>
        </w:rPr>
        <w:t xml:space="preserve">2018, </w:t>
      </w:r>
      <w:r w:rsidRPr="006A10DC">
        <w:rPr>
          <w:sz w:val="24"/>
        </w:rPr>
        <w:t>2019) ayant une valeur égale au moins au double du montant de son offre. Pour cela, le Soumissionnaire doit fournir un Certificat de bonne exécution dument attesté par le Client. Les Contacts et adresses du ou des Clients devront être fournis pour les besoins de</w:t>
      </w:r>
      <w:r w:rsidRPr="006A10DC">
        <w:rPr>
          <w:spacing w:val="-5"/>
          <w:sz w:val="24"/>
        </w:rPr>
        <w:t xml:space="preserve"> </w:t>
      </w:r>
      <w:r w:rsidRPr="006A10DC">
        <w:rPr>
          <w:sz w:val="24"/>
        </w:rPr>
        <w:t>vérification.</w:t>
      </w:r>
    </w:p>
    <w:p w:rsidR="00210A86" w:rsidRPr="00720675" w:rsidRDefault="00210A86">
      <w:pPr>
        <w:pStyle w:val="BodyText"/>
        <w:spacing w:before="10"/>
        <w:rPr>
          <w:sz w:val="12"/>
          <w:szCs w:val="12"/>
        </w:rPr>
      </w:pPr>
    </w:p>
    <w:p w:rsidR="00210A86" w:rsidRPr="006A10DC" w:rsidRDefault="00CC31E2">
      <w:pPr>
        <w:pStyle w:val="ListParagraph"/>
        <w:numPr>
          <w:ilvl w:val="1"/>
          <w:numId w:val="2"/>
        </w:numPr>
        <w:tabs>
          <w:tab w:val="left" w:pos="895"/>
        </w:tabs>
        <w:ind w:right="193"/>
        <w:jc w:val="both"/>
        <w:rPr>
          <w:sz w:val="24"/>
        </w:rPr>
      </w:pPr>
      <w:r w:rsidRPr="006A10DC">
        <w:rPr>
          <w:sz w:val="24"/>
        </w:rPr>
        <w:t>Les</w:t>
      </w:r>
      <w:r w:rsidRPr="006A10DC">
        <w:rPr>
          <w:spacing w:val="-4"/>
          <w:sz w:val="24"/>
        </w:rPr>
        <w:t xml:space="preserve"> </w:t>
      </w:r>
      <w:r w:rsidRPr="006A10DC">
        <w:rPr>
          <w:sz w:val="24"/>
        </w:rPr>
        <w:t>équipements</w:t>
      </w:r>
      <w:r w:rsidRPr="006A10DC">
        <w:rPr>
          <w:spacing w:val="-5"/>
          <w:sz w:val="24"/>
        </w:rPr>
        <w:t xml:space="preserve"> </w:t>
      </w:r>
      <w:r w:rsidRPr="006A10DC">
        <w:rPr>
          <w:sz w:val="24"/>
        </w:rPr>
        <w:t>minimum</w:t>
      </w:r>
      <w:r w:rsidRPr="006A10DC">
        <w:rPr>
          <w:spacing w:val="-6"/>
          <w:sz w:val="24"/>
        </w:rPr>
        <w:t xml:space="preserve"> </w:t>
      </w:r>
      <w:r w:rsidRPr="006A10DC">
        <w:rPr>
          <w:sz w:val="24"/>
        </w:rPr>
        <w:t>essentiels</w:t>
      </w:r>
      <w:r w:rsidRPr="006A10DC">
        <w:rPr>
          <w:spacing w:val="-5"/>
          <w:sz w:val="24"/>
        </w:rPr>
        <w:t xml:space="preserve"> </w:t>
      </w:r>
      <w:r w:rsidRPr="006A10DC">
        <w:rPr>
          <w:sz w:val="24"/>
        </w:rPr>
        <w:t>que</w:t>
      </w:r>
      <w:r w:rsidRPr="006A10DC">
        <w:rPr>
          <w:spacing w:val="-4"/>
          <w:sz w:val="24"/>
        </w:rPr>
        <w:t xml:space="preserve"> </w:t>
      </w:r>
      <w:r w:rsidRPr="006A10DC">
        <w:rPr>
          <w:sz w:val="24"/>
        </w:rPr>
        <w:t>doit</w:t>
      </w:r>
      <w:r w:rsidRPr="006A10DC">
        <w:rPr>
          <w:spacing w:val="-6"/>
          <w:sz w:val="24"/>
        </w:rPr>
        <w:t xml:space="preserve"> </w:t>
      </w:r>
      <w:r w:rsidRPr="006A10DC">
        <w:rPr>
          <w:sz w:val="24"/>
        </w:rPr>
        <w:t>fournir</w:t>
      </w:r>
      <w:r w:rsidRPr="006A10DC">
        <w:rPr>
          <w:spacing w:val="-6"/>
          <w:sz w:val="24"/>
        </w:rPr>
        <w:t xml:space="preserve"> </w:t>
      </w:r>
      <w:r w:rsidRPr="006A10DC">
        <w:rPr>
          <w:sz w:val="24"/>
        </w:rPr>
        <w:t>le</w:t>
      </w:r>
      <w:r w:rsidRPr="006A10DC">
        <w:rPr>
          <w:spacing w:val="-6"/>
          <w:sz w:val="24"/>
        </w:rPr>
        <w:t xml:space="preserve"> </w:t>
      </w:r>
      <w:r w:rsidRPr="006A10DC">
        <w:rPr>
          <w:sz w:val="24"/>
        </w:rPr>
        <w:t>Soumissionnaire</w:t>
      </w:r>
      <w:r w:rsidRPr="006A10DC">
        <w:rPr>
          <w:spacing w:val="-7"/>
          <w:sz w:val="24"/>
        </w:rPr>
        <w:t xml:space="preserve"> </w:t>
      </w:r>
      <w:r w:rsidRPr="006A10DC">
        <w:rPr>
          <w:sz w:val="24"/>
        </w:rPr>
        <w:t>sélectionné pour l’exécution du marché</w:t>
      </w:r>
      <w:r w:rsidRPr="006A10DC">
        <w:rPr>
          <w:spacing w:val="-3"/>
          <w:sz w:val="24"/>
        </w:rPr>
        <w:t xml:space="preserve"> </w:t>
      </w:r>
      <w:r w:rsidRPr="006A10DC">
        <w:rPr>
          <w:sz w:val="24"/>
        </w:rPr>
        <w:t>sont:</w:t>
      </w:r>
    </w:p>
    <w:p w:rsidR="00210A86" w:rsidRPr="00720675" w:rsidRDefault="00210A86">
      <w:pPr>
        <w:pStyle w:val="BodyText"/>
        <w:spacing w:before="3"/>
        <w:rPr>
          <w:sz w:val="12"/>
          <w:szCs w:val="12"/>
        </w:rPr>
      </w:pPr>
    </w:p>
    <w:p w:rsidR="00210A86" w:rsidRDefault="00CC31E2" w:rsidP="006A10DC">
      <w:pPr>
        <w:pStyle w:val="Heading1"/>
        <w:numPr>
          <w:ilvl w:val="0"/>
          <w:numId w:val="1"/>
        </w:numPr>
        <w:tabs>
          <w:tab w:val="left" w:pos="820"/>
          <w:tab w:val="left" w:pos="821"/>
        </w:tabs>
        <w:spacing w:before="1"/>
        <w:ind w:firstLine="80"/>
      </w:pPr>
      <w:proofErr w:type="spellStart"/>
      <w:r>
        <w:t>Concrete</w:t>
      </w:r>
      <w:proofErr w:type="spellEnd"/>
      <w:r>
        <w:t xml:space="preserve"> Mixer of 500 L </w:t>
      </w:r>
      <w:r w:rsidR="006A10DC">
        <w:t xml:space="preserve"> </w:t>
      </w:r>
      <w:r>
        <w:t>-</w:t>
      </w:r>
      <w:r>
        <w:rPr>
          <w:spacing w:val="-1"/>
        </w:rPr>
        <w:t xml:space="preserve"> </w:t>
      </w:r>
      <w:r w:rsidR="006A10DC">
        <w:rPr>
          <w:spacing w:val="-1"/>
        </w:rPr>
        <w:t xml:space="preserve"> </w:t>
      </w:r>
      <w:r>
        <w:t>3</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r>
        <w:rPr>
          <w:rFonts w:ascii="Times New Roman" w:hAnsi="Times New Roman"/>
          <w:b/>
          <w:sz w:val="24"/>
        </w:rPr>
        <w:t>Tipper</w:t>
      </w:r>
      <w:r>
        <w:rPr>
          <w:rFonts w:ascii="Times New Roman" w:hAnsi="Times New Roman"/>
          <w:b/>
          <w:spacing w:val="-2"/>
          <w:sz w:val="24"/>
        </w:rPr>
        <w:t xml:space="preserve"> </w:t>
      </w:r>
      <w:r>
        <w:rPr>
          <w:rFonts w:ascii="Times New Roman" w:hAnsi="Times New Roman"/>
          <w:b/>
          <w:sz w:val="24"/>
        </w:rPr>
        <w:t>Lorry</w:t>
      </w:r>
      <w:r>
        <w:rPr>
          <w:rFonts w:ascii="Times New Roman" w:hAnsi="Times New Roman"/>
          <w:b/>
          <w:sz w:val="24"/>
        </w:rPr>
        <w:tab/>
      </w:r>
      <w:r w:rsidR="006A10DC">
        <w:rPr>
          <w:rFonts w:ascii="Times New Roman" w:hAnsi="Times New Roman"/>
          <w:b/>
          <w:sz w:val="24"/>
        </w:rPr>
        <w:t xml:space="preserve"> </w:t>
      </w:r>
      <w:r>
        <w:rPr>
          <w:rFonts w:ascii="Times New Roman" w:hAnsi="Times New Roman"/>
          <w:b/>
          <w:sz w:val="24"/>
        </w:rPr>
        <w:t>-</w:t>
      </w:r>
      <w:r>
        <w:rPr>
          <w:rFonts w:ascii="Times New Roman" w:hAnsi="Times New Roman"/>
          <w:b/>
          <w:spacing w:val="59"/>
          <w:sz w:val="24"/>
        </w:rPr>
        <w:t xml:space="preserve"> </w:t>
      </w:r>
      <w:r>
        <w:rPr>
          <w:rFonts w:ascii="Times New Roman" w:hAnsi="Times New Roman"/>
          <w:b/>
          <w:sz w:val="24"/>
        </w:rPr>
        <w:t>2</w:t>
      </w:r>
    </w:p>
    <w:p w:rsidR="00210A86" w:rsidRDefault="00CC31E2" w:rsidP="006A10DC">
      <w:pPr>
        <w:pStyle w:val="ListParagraph"/>
        <w:numPr>
          <w:ilvl w:val="0"/>
          <w:numId w:val="1"/>
        </w:numPr>
        <w:tabs>
          <w:tab w:val="left" w:pos="820"/>
          <w:tab w:val="left" w:pos="821"/>
        </w:tabs>
        <w:spacing w:line="275" w:lineRule="exact"/>
        <w:ind w:firstLine="80"/>
        <w:rPr>
          <w:rFonts w:ascii="Times New Roman" w:hAnsi="Times New Roman"/>
          <w:b/>
          <w:sz w:val="24"/>
        </w:rPr>
      </w:pPr>
      <w:r>
        <w:rPr>
          <w:rFonts w:ascii="Times New Roman" w:hAnsi="Times New Roman"/>
          <w:b/>
          <w:sz w:val="24"/>
        </w:rPr>
        <w:t>Water tank truck</w:t>
      </w:r>
      <w:r w:rsidR="006A10DC">
        <w:rPr>
          <w:rFonts w:ascii="Times New Roman" w:hAnsi="Times New Roman"/>
          <w:b/>
          <w:sz w:val="24"/>
        </w:rPr>
        <w:t xml:space="preserve">  </w:t>
      </w:r>
      <w:r>
        <w:rPr>
          <w:rFonts w:ascii="Times New Roman" w:hAnsi="Times New Roman"/>
          <w:b/>
          <w:sz w:val="24"/>
        </w:rPr>
        <w:t>-</w:t>
      </w:r>
      <w:r w:rsidR="006A10DC">
        <w:rPr>
          <w:rFonts w:ascii="Times New Roman" w:hAnsi="Times New Roman"/>
          <w:b/>
          <w:sz w:val="24"/>
        </w:rPr>
        <w:t xml:space="preserve">  </w:t>
      </w:r>
      <w:r>
        <w:rPr>
          <w:rFonts w:ascii="Times New Roman" w:hAnsi="Times New Roman"/>
          <w:b/>
          <w:sz w:val="24"/>
        </w:rPr>
        <w:t>4</w:t>
      </w:r>
      <w:r>
        <w:rPr>
          <w:rFonts w:ascii="Times New Roman" w:hAnsi="Times New Roman"/>
          <w:b/>
          <w:spacing w:val="-2"/>
          <w:sz w:val="24"/>
        </w:rPr>
        <w:t xml:space="preserve"> </w:t>
      </w:r>
      <w:r>
        <w:rPr>
          <w:rFonts w:ascii="Times New Roman" w:hAnsi="Times New Roman"/>
          <w:b/>
          <w:sz w:val="24"/>
        </w:rPr>
        <w:t>Nr</w:t>
      </w:r>
    </w:p>
    <w:p w:rsidR="00210A86" w:rsidRDefault="00CC31E2" w:rsidP="006A10DC">
      <w:pPr>
        <w:pStyle w:val="ListParagraph"/>
        <w:numPr>
          <w:ilvl w:val="0"/>
          <w:numId w:val="1"/>
        </w:numPr>
        <w:tabs>
          <w:tab w:val="left" w:pos="820"/>
          <w:tab w:val="left" w:pos="821"/>
        </w:tabs>
        <w:spacing w:line="275" w:lineRule="exact"/>
        <w:ind w:firstLine="80"/>
        <w:rPr>
          <w:rFonts w:ascii="Times New Roman" w:hAnsi="Times New Roman"/>
          <w:b/>
          <w:sz w:val="24"/>
        </w:rPr>
      </w:pPr>
      <w:r>
        <w:rPr>
          <w:rFonts w:ascii="Times New Roman" w:hAnsi="Times New Roman"/>
          <w:b/>
          <w:sz w:val="24"/>
        </w:rPr>
        <w:t>Utility</w:t>
      </w:r>
      <w:r>
        <w:rPr>
          <w:rFonts w:ascii="Times New Roman" w:hAnsi="Times New Roman"/>
          <w:b/>
          <w:spacing w:val="-2"/>
          <w:sz w:val="24"/>
        </w:rPr>
        <w:t xml:space="preserve"> </w:t>
      </w:r>
      <w:proofErr w:type="spellStart"/>
      <w:r w:rsidR="006A10DC">
        <w:rPr>
          <w:rFonts w:ascii="Times New Roman" w:hAnsi="Times New Roman"/>
          <w:b/>
          <w:sz w:val="24"/>
        </w:rPr>
        <w:t>Vehicle</w:t>
      </w:r>
      <w:proofErr w:type="spellEnd"/>
      <w:r w:rsidR="006A10DC">
        <w:rPr>
          <w:rFonts w:ascii="Times New Roman" w:hAnsi="Times New Roman"/>
          <w:b/>
          <w:sz w:val="24"/>
        </w:rPr>
        <w:t xml:space="preserve">  </w:t>
      </w:r>
      <w:r>
        <w:rPr>
          <w:rFonts w:ascii="Times New Roman" w:hAnsi="Times New Roman"/>
          <w:b/>
          <w:sz w:val="24"/>
        </w:rPr>
        <w:t xml:space="preserve">- </w:t>
      </w:r>
      <w:r w:rsidR="006A10DC">
        <w:rPr>
          <w:rFonts w:ascii="Times New Roman" w:hAnsi="Times New Roman"/>
          <w:b/>
          <w:sz w:val="24"/>
        </w:rPr>
        <w:t xml:space="preserve"> </w:t>
      </w:r>
      <w:r>
        <w:rPr>
          <w:rFonts w:ascii="Times New Roman" w:hAnsi="Times New Roman"/>
          <w:b/>
          <w:sz w:val="24"/>
        </w:rPr>
        <w:t>4</w:t>
      </w:r>
      <w:r>
        <w:rPr>
          <w:rFonts w:ascii="Times New Roman" w:hAnsi="Times New Roman"/>
          <w:b/>
          <w:spacing w:val="-1"/>
          <w:sz w:val="24"/>
        </w:rPr>
        <w:t xml:space="preserve"> </w:t>
      </w:r>
      <w:r>
        <w:rPr>
          <w:rFonts w:ascii="Times New Roman" w:hAnsi="Times New Roman"/>
          <w:b/>
          <w:sz w:val="24"/>
        </w:rPr>
        <w:t>Nr</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r>
        <w:rPr>
          <w:rFonts w:ascii="Times New Roman" w:hAnsi="Times New Roman"/>
          <w:b/>
          <w:sz w:val="24"/>
        </w:rPr>
        <w:t>Poker</w:t>
      </w:r>
      <w:r>
        <w:rPr>
          <w:rFonts w:ascii="Times New Roman" w:hAnsi="Times New Roman"/>
          <w:b/>
          <w:spacing w:val="-1"/>
          <w:sz w:val="24"/>
        </w:rPr>
        <w:t xml:space="preserve"> </w:t>
      </w:r>
      <w:proofErr w:type="spellStart"/>
      <w:r w:rsidR="006A10DC">
        <w:rPr>
          <w:rFonts w:ascii="Times New Roman" w:hAnsi="Times New Roman"/>
          <w:b/>
          <w:sz w:val="24"/>
        </w:rPr>
        <w:t>Vibrator</w:t>
      </w:r>
      <w:proofErr w:type="spellEnd"/>
      <w:r w:rsidR="006A10DC">
        <w:rPr>
          <w:rFonts w:ascii="Times New Roman" w:hAnsi="Times New Roman"/>
          <w:b/>
          <w:sz w:val="24"/>
        </w:rPr>
        <w:t xml:space="preserve">  </w:t>
      </w:r>
      <w:r>
        <w:rPr>
          <w:rFonts w:ascii="Times New Roman" w:hAnsi="Times New Roman"/>
          <w:b/>
          <w:sz w:val="24"/>
        </w:rPr>
        <w:t>– 10</w:t>
      </w:r>
      <w:r>
        <w:rPr>
          <w:rFonts w:ascii="Times New Roman" w:hAnsi="Times New Roman"/>
          <w:b/>
          <w:spacing w:val="2"/>
          <w:sz w:val="24"/>
        </w:rPr>
        <w:t xml:space="preserve"> </w:t>
      </w:r>
      <w:r>
        <w:rPr>
          <w:rFonts w:ascii="Times New Roman" w:hAnsi="Times New Roman"/>
          <w:b/>
          <w:sz w:val="24"/>
        </w:rPr>
        <w:t>Nr</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proofErr w:type="spellStart"/>
      <w:r>
        <w:rPr>
          <w:rFonts w:ascii="Times New Roman" w:hAnsi="Times New Roman"/>
          <w:b/>
          <w:sz w:val="24"/>
        </w:rPr>
        <w:t>Frontend</w:t>
      </w:r>
      <w:proofErr w:type="spellEnd"/>
      <w:r>
        <w:rPr>
          <w:rFonts w:ascii="Times New Roman" w:hAnsi="Times New Roman"/>
          <w:b/>
          <w:sz w:val="24"/>
        </w:rPr>
        <w:t xml:space="preserve"> Loader </w:t>
      </w:r>
      <w:r w:rsidR="006A10DC">
        <w:rPr>
          <w:rFonts w:ascii="Times New Roman" w:hAnsi="Times New Roman"/>
          <w:b/>
          <w:sz w:val="24"/>
        </w:rPr>
        <w:t xml:space="preserve"> </w:t>
      </w:r>
      <w:r>
        <w:rPr>
          <w:rFonts w:ascii="Times New Roman" w:hAnsi="Times New Roman"/>
          <w:b/>
          <w:sz w:val="24"/>
        </w:rPr>
        <w:t>-</w:t>
      </w:r>
      <w:r>
        <w:rPr>
          <w:rFonts w:ascii="Times New Roman" w:hAnsi="Times New Roman"/>
          <w:b/>
          <w:spacing w:val="59"/>
          <w:sz w:val="24"/>
        </w:rPr>
        <w:t xml:space="preserve"> </w:t>
      </w:r>
      <w:r>
        <w:rPr>
          <w:rFonts w:ascii="Times New Roman" w:hAnsi="Times New Roman"/>
          <w:b/>
          <w:sz w:val="24"/>
        </w:rPr>
        <w:t>1</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proofErr w:type="spellStart"/>
      <w:r>
        <w:rPr>
          <w:rFonts w:ascii="Times New Roman" w:hAnsi="Times New Roman"/>
          <w:b/>
          <w:sz w:val="24"/>
        </w:rPr>
        <w:t>Metal</w:t>
      </w:r>
      <w:proofErr w:type="spellEnd"/>
      <w:r>
        <w:rPr>
          <w:rFonts w:ascii="Times New Roman" w:hAnsi="Times New Roman"/>
          <w:b/>
          <w:sz w:val="24"/>
        </w:rPr>
        <w:t xml:space="preserve"> </w:t>
      </w:r>
      <w:proofErr w:type="spellStart"/>
      <w:r>
        <w:rPr>
          <w:rFonts w:ascii="Times New Roman" w:hAnsi="Times New Roman"/>
          <w:b/>
          <w:sz w:val="24"/>
        </w:rPr>
        <w:t>Cutting</w:t>
      </w:r>
      <w:proofErr w:type="spellEnd"/>
      <w:r>
        <w:rPr>
          <w:rFonts w:ascii="Times New Roman" w:hAnsi="Times New Roman"/>
          <w:b/>
          <w:sz w:val="24"/>
        </w:rPr>
        <w:t xml:space="preserve"> </w:t>
      </w:r>
      <w:proofErr w:type="spellStart"/>
      <w:r>
        <w:rPr>
          <w:rFonts w:ascii="Times New Roman" w:hAnsi="Times New Roman"/>
          <w:b/>
          <w:sz w:val="24"/>
        </w:rPr>
        <w:t>Device</w:t>
      </w:r>
      <w:proofErr w:type="spellEnd"/>
      <w:r>
        <w:rPr>
          <w:rFonts w:ascii="Times New Roman" w:hAnsi="Times New Roman"/>
          <w:b/>
          <w:sz w:val="24"/>
        </w:rPr>
        <w:t xml:space="preserve"> </w:t>
      </w:r>
      <w:r w:rsidR="006A10DC">
        <w:rPr>
          <w:rFonts w:ascii="Times New Roman" w:hAnsi="Times New Roman"/>
          <w:b/>
          <w:sz w:val="24"/>
        </w:rPr>
        <w:t xml:space="preserve"> </w:t>
      </w:r>
      <w:r>
        <w:rPr>
          <w:rFonts w:ascii="Times New Roman" w:hAnsi="Times New Roman"/>
          <w:b/>
          <w:sz w:val="24"/>
        </w:rPr>
        <w:t>–</w:t>
      </w:r>
      <w:r w:rsidR="006A10DC">
        <w:rPr>
          <w:rFonts w:ascii="Times New Roman" w:hAnsi="Times New Roman"/>
          <w:b/>
          <w:sz w:val="24"/>
        </w:rPr>
        <w:t xml:space="preserve"> </w:t>
      </w:r>
      <w:r>
        <w:rPr>
          <w:rFonts w:ascii="Times New Roman" w:hAnsi="Times New Roman"/>
          <w:b/>
          <w:spacing w:val="1"/>
          <w:sz w:val="24"/>
        </w:rPr>
        <w:t xml:space="preserve"> </w:t>
      </w:r>
      <w:r>
        <w:rPr>
          <w:rFonts w:ascii="Times New Roman" w:hAnsi="Times New Roman"/>
          <w:b/>
          <w:sz w:val="24"/>
        </w:rPr>
        <w:t>1</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proofErr w:type="spellStart"/>
      <w:r>
        <w:rPr>
          <w:rFonts w:ascii="Times New Roman" w:hAnsi="Times New Roman"/>
          <w:b/>
          <w:sz w:val="24"/>
        </w:rPr>
        <w:t>Welding</w:t>
      </w:r>
      <w:proofErr w:type="spellEnd"/>
      <w:r>
        <w:rPr>
          <w:rFonts w:ascii="Times New Roman" w:hAnsi="Times New Roman"/>
          <w:b/>
          <w:spacing w:val="-1"/>
          <w:sz w:val="24"/>
        </w:rPr>
        <w:t xml:space="preserve"> </w:t>
      </w:r>
      <w:r w:rsidR="006A10DC">
        <w:rPr>
          <w:rFonts w:ascii="Times New Roman" w:hAnsi="Times New Roman"/>
          <w:b/>
          <w:sz w:val="24"/>
        </w:rPr>
        <w:t xml:space="preserve">Plant   </w:t>
      </w:r>
      <w:r>
        <w:rPr>
          <w:rFonts w:ascii="Times New Roman" w:hAnsi="Times New Roman"/>
          <w:b/>
          <w:sz w:val="24"/>
        </w:rPr>
        <w:t>-</w:t>
      </w:r>
      <w:r>
        <w:rPr>
          <w:rFonts w:ascii="Times New Roman" w:hAnsi="Times New Roman"/>
          <w:b/>
          <w:spacing w:val="59"/>
          <w:sz w:val="24"/>
        </w:rPr>
        <w:t xml:space="preserve"> </w:t>
      </w:r>
      <w:r>
        <w:rPr>
          <w:rFonts w:ascii="Times New Roman" w:hAnsi="Times New Roman"/>
          <w:b/>
          <w:sz w:val="24"/>
        </w:rPr>
        <w:t>2</w:t>
      </w:r>
    </w:p>
    <w:p w:rsidR="00210A86" w:rsidRDefault="006A10DC" w:rsidP="006A10DC">
      <w:pPr>
        <w:pStyle w:val="ListParagraph"/>
        <w:numPr>
          <w:ilvl w:val="0"/>
          <w:numId w:val="1"/>
        </w:numPr>
        <w:tabs>
          <w:tab w:val="left" w:pos="820"/>
          <w:tab w:val="left" w:pos="821"/>
        </w:tabs>
        <w:ind w:firstLine="80"/>
        <w:rPr>
          <w:rFonts w:ascii="Times New Roman" w:hAnsi="Times New Roman"/>
          <w:b/>
          <w:sz w:val="24"/>
        </w:rPr>
      </w:pPr>
      <w:proofErr w:type="spellStart"/>
      <w:r>
        <w:rPr>
          <w:rFonts w:ascii="Times New Roman" w:hAnsi="Times New Roman"/>
          <w:b/>
          <w:sz w:val="24"/>
        </w:rPr>
        <w:t>Excavator</w:t>
      </w:r>
      <w:proofErr w:type="spellEnd"/>
      <w:r>
        <w:rPr>
          <w:rFonts w:ascii="Times New Roman" w:hAnsi="Times New Roman"/>
          <w:b/>
          <w:sz w:val="24"/>
        </w:rPr>
        <w:t xml:space="preserve">    </w:t>
      </w:r>
      <w:r w:rsidR="00CC31E2">
        <w:rPr>
          <w:rFonts w:ascii="Times New Roman" w:hAnsi="Times New Roman"/>
          <w:b/>
          <w:sz w:val="24"/>
        </w:rPr>
        <w:t>-</w:t>
      </w:r>
      <w:r w:rsidR="00CC31E2">
        <w:rPr>
          <w:rFonts w:ascii="Times New Roman" w:hAnsi="Times New Roman"/>
          <w:b/>
          <w:spacing w:val="1"/>
          <w:sz w:val="24"/>
        </w:rPr>
        <w:t xml:space="preserve"> </w:t>
      </w:r>
      <w:r>
        <w:rPr>
          <w:rFonts w:ascii="Times New Roman" w:hAnsi="Times New Roman"/>
          <w:b/>
          <w:spacing w:val="1"/>
          <w:sz w:val="24"/>
        </w:rPr>
        <w:t xml:space="preserve"> </w:t>
      </w:r>
      <w:r w:rsidR="00CC31E2">
        <w:rPr>
          <w:rFonts w:ascii="Times New Roman" w:hAnsi="Times New Roman"/>
          <w:b/>
          <w:sz w:val="24"/>
        </w:rPr>
        <w:t>2</w:t>
      </w:r>
    </w:p>
    <w:p w:rsidR="00210A86" w:rsidRDefault="006A10DC" w:rsidP="006A10DC">
      <w:pPr>
        <w:pStyle w:val="ListParagraph"/>
        <w:numPr>
          <w:ilvl w:val="0"/>
          <w:numId w:val="1"/>
        </w:numPr>
        <w:tabs>
          <w:tab w:val="left" w:pos="820"/>
          <w:tab w:val="left" w:pos="821"/>
        </w:tabs>
        <w:ind w:firstLine="80"/>
        <w:rPr>
          <w:rFonts w:ascii="Times New Roman" w:hAnsi="Times New Roman"/>
          <w:b/>
          <w:sz w:val="24"/>
        </w:rPr>
      </w:pPr>
      <w:r>
        <w:rPr>
          <w:rFonts w:ascii="Times New Roman" w:hAnsi="Times New Roman"/>
          <w:b/>
          <w:sz w:val="24"/>
        </w:rPr>
        <w:t xml:space="preserve">Dumper       </w:t>
      </w:r>
      <w:r w:rsidR="00CC31E2">
        <w:rPr>
          <w:rFonts w:ascii="Times New Roman" w:hAnsi="Times New Roman"/>
          <w:b/>
          <w:sz w:val="24"/>
        </w:rPr>
        <w:t xml:space="preserve">-  </w:t>
      </w:r>
      <w:r w:rsidR="00CC31E2">
        <w:rPr>
          <w:rFonts w:ascii="Times New Roman" w:hAnsi="Times New Roman"/>
          <w:b/>
          <w:spacing w:val="1"/>
          <w:sz w:val="24"/>
        </w:rPr>
        <w:t xml:space="preserve"> </w:t>
      </w:r>
      <w:r w:rsidR="00CC31E2">
        <w:rPr>
          <w:rFonts w:ascii="Times New Roman" w:hAnsi="Times New Roman"/>
          <w:b/>
          <w:sz w:val="24"/>
        </w:rPr>
        <w:t>0</w:t>
      </w:r>
    </w:p>
    <w:p w:rsidR="00210A86" w:rsidRDefault="00CC31E2" w:rsidP="006A10DC">
      <w:pPr>
        <w:pStyle w:val="ListParagraph"/>
        <w:numPr>
          <w:ilvl w:val="0"/>
          <w:numId w:val="1"/>
        </w:numPr>
        <w:tabs>
          <w:tab w:val="left" w:pos="820"/>
          <w:tab w:val="left" w:pos="821"/>
        </w:tabs>
        <w:ind w:firstLine="80"/>
        <w:rPr>
          <w:rFonts w:ascii="Times New Roman" w:hAnsi="Times New Roman"/>
          <w:b/>
          <w:sz w:val="24"/>
        </w:rPr>
      </w:pPr>
      <w:r>
        <w:rPr>
          <w:rFonts w:ascii="Times New Roman" w:hAnsi="Times New Roman"/>
          <w:b/>
          <w:sz w:val="24"/>
        </w:rPr>
        <w:t>Mobile</w:t>
      </w:r>
      <w:r>
        <w:rPr>
          <w:rFonts w:ascii="Times New Roman" w:hAnsi="Times New Roman"/>
          <w:b/>
          <w:spacing w:val="-2"/>
          <w:sz w:val="24"/>
        </w:rPr>
        <w:t xml:space="preserve"> </w:t>
      </w:r>
      <w:r>
        <w:rPr>
          <w:rFonts w:ascii="Times New Roman" w:hAnsi="Times New Roman"/>
          <w:b/>
          <w:sz w:val="24"/>
        </w:rPr>
        <w:t>crane</w:t>
      </w:r>
      <w:r>
        <w:rPr>
          <w:rFonts w:ascii="Times New Roman" w:hAnsi="Times New Roman"/>
          <w:b/>
          <w:sz w:val="24"/>
        </w:rPr>
        <w:tab/>
        <w:t>-  1</w:t>
      </w:r>
    </w:p>
    <w:p w:rsidR="00210A86" w:rsidRDefault="00CC31E2" w:rsidP="006A10DC">
      <w:pPr>
        <w:pStyle w:val="ListParagraph"/>
        <w:numPr>
          <w:ilvl w:val="0"/>
          <w:numId w:val="1"/>
        </w:numPr>
        <w:tabs>
          <w:tab w:val="left" w:pos="820"/>
          <w:tab w:val="left" w:pos="821"/>
        </w:tabs>
        <w:spacing w:line="274" w:lineRule="exact"/>
        <w:ind w:firstLine="80"/>
        <w:rPr>
          <w:rFonts w:ascii="Times New Roman" w:hAnsi="Times New Roman"/>
          <w:b/>
          <w:sz w:val="24"/>
        </w:rPr>
      </w:pPr>
      <w:r>
        <w:rPr>
          <w:rFonts w:ascii="Times New Roman" w:hAnsi="Times New Roman"/>
          <w:b/>
          <w:sz w:val="24"/>
        </w:rPr>
        <w:t>Roller</w:t>
      </w:r>
      <w:r>
        <w:rPr>
          <w:rFonts w:ascii="Times New Roman" w:hAnsi="Times New Roman"/>
          <w:b/>
          <w:sz w:val="24"/>
        </w:rPr>
        <w:tab/>
        <w:t>-  2</w:t>
      </w:r>
    </w:p>
    <w:p w:rsidR="00210A86" w:rsidRPr="006A10DC" w:rsidRDefault="006A10DC" w:rsidP="006A10DC">
      <w:pPr>
        <w:pStyle w:val="BodyText"/>
        <w:tabs>
          <w:tab w:val="left" w:pos="1021"/>
          <w:tab w:val="left" w:pos="3326"/>
        </w:tabs>
        <w:ind w:left="900" w:right="192"/>
        <w:rPr>
          <w:rFonts w:ascii="Tahoma" w:hAnsi="Tahoma" w:cs="Tahoma"/>
        </w:rPr>
      </w:pPr>
      <w:r>
        <w:rPr>
          <w:rFonts w:ascii="Tahoma" w:hAnsi="Tahoma" w:cs="Tahoma"/>
        </w:rPr>
        <w:t xml:space="preserve">Lot </w:t>
      </w:r>
      <w:r w:rsidR="00CC31E2" w:rsidRPr="006A10DC">
        <w:rPr>
          <w:rFonts w:ascii="Tahoma" w:hAnsi="Tahoma" w:cs="Tahoma"/>
        </w:rPr>
        <w:t>de</w:t>
      </w:r>
      <w:r w:rsidR="00CC31E2" w:rsidRPr="006A10DC">
        <w:rPr>
          <w:rFonts w:ascii="Tahoma" w:hAnsi="Tahoma" w:cs="Tahoma"/>
          <w:spacing w:val="53"/>
        </w:rPr>
        <w:t xml:space="preserve"> </w:t>
      </w:r>
      <w:r w:rsidR="00CC31E2" w:rsidRPr="006A10DC">
        <w:rPr>
          <w:rFonts w:ascii="Tahoma" w:hAnsi="Tahoma" w:cs="Tahoma"/>
        </w:rPr>
        <w:t>matériel</w:t>
      </w:r>
      <w:r w:rsidR="00CC31E2" w:rsidRPr="006A10DC">
        <w:rPr>
          <w:rFonts w:ascii="Tahoma" w:hAnsi="Tahoma" w:cs="Tahoma"/>
          <w:spacing w:val="58"/>
        </w:rPr>
        <w:t xml:space="preserve"> </w:t>
      </w:r>
      <w:r w:rsidR="00CC31E2" w:rsidRPr="006A10DC">
        <w:rPr>
          <w:rFonts w:ascii="Tahoma" w:hAnsi="Tahoma" w:cs="Tahoma"/>
        </w:rPr>
        <w:t>essentiel</w:t>
      </w:r>
      <w:r w:rsidR="00CC31E2" w:rsidRPr="006A10DC">
        <w:rPr>
          <w:rFonts w:ascii="Tahoma" w:hAnsi="Tahoma" w:cs="Tahoma"/>
        </w:rPr>
        <w:tab/>
        <w:t>po</w:t>
      </w:r>
      <w:r w:rsidR="00346876" w:rsidRPr="006A10DC">
        <w:rPr>
          <w:rFonts w:ascii="Tahoma" w:hAnsi="Tahoma" w:cs="Tahoma"/>
        </w:rPr>
        <w:t>ur un laboratoire de chantier (</w:t>
      </w:r>
      <w:r w:rsidR="00CC31E2" w:rsidRPr="006A10DC">
        <w:rPr>
          <w:rFonts w:ascii="Tahoma" w:hAnsi="Tahoma" w:cs="Tahoma"/>
        </w:rPr>
        <w:t>à indi</w:t>
      </w:r>
      <w:r w:rsidR="00C42713" w:rsidRPr="006A10DC">
        <w:rPr>
          <w:rFonts w:ascii="Tahoma" w:hAnsi="Tahoma" w:cs="Tahoma"/>
        </w:rPr>
        <w:t>quer par chaque soumissionnaire</w:t>
      </w:r>
      <w:r w:rsidR="00CC31E2" w:rsidRPr="006A10DC">
        <w:rPr>
          <w:rFonts w:ascii="Tahoma" w:hAnsi="Tahoma" w:cs="Tahoma"/>
        </w:rPr>
        <w:t>).</w:t>
      </w:r>
    </w:p>
    <w:p w:rsidR="00210A86" w:rsidRPr="00C44BC0" w:rsidRDefault="00210A86">
      <w:pPr>
        <w:pStyle w:val="BodyText"/>
        <w:spacing w:before="2"/>
        <w:rPr>
          <w:sz w:val="10"/>
          <w:szCs w:val="10"/>
        </w:rPr>
      </w:pPr>
    </w:p>
    <w:p w:rsidR="00210A86" w:rsidRPr="00AC38ED" w:rsidRDefault="00CC31E2" w:rsidP="00D94B8D">
      <w:pPr>
        <w:pStyle w:val="ListParagraph"/>
        <w:numPr>
          <w:ilvl w:val="0"/>
          <w:numId w:val="2"/>
        </w:numPr>
        <w:tabs>
          <w:tab w:val="left" w:pos="636"/>
        </w:tabs>
        <w:spacing w:line="263" w:lineRule="exact"/>
        <w:ind w:left="630" w:right="110" w:hanging="708"/>
        <w:jc w:val="both"/>
        <w:rPr>
          <w:sz w:val="24"/>
        </w:rPr>
      </w:pPr>
      <w:r w:rsidRPr="00FA20EC">
        <w:rPr>
          <w:sz w:val="24"/>
        </w:rPr>
        <w:t xml:space="preserve">Les </w:t>
      </w:r>
      <w:r w:rsidRPr="00FA20EC">
        <w:rPr>
          <w:spacing w:val="-4"/>
          <w:sz w:val="24"/>
        </w:rPr>
        <w:t xml:space="preserve">soumissions </w:t>
      </w:r>
      <w:r w:rsidRPr="00FA20EC">
        <w:rPr>
          <w:spacing w:val="-3"/>
          <w:sz w:val="24"/>
        </w:rPr>
        <w:t xml:space="preserve">devront être </w:t>
      </w:r>
      <w:r w:rsidRPr="00FA20EC">
        <w:rPr>
          <w:spacing w:val="-4"/>
          <w:sz w:val="24"/>
        </w:rPr>
        <w:t xml:space="preserve">déposées </w:t>
      </w:r>
      <w:r w:rsidRPr="00FA20EC">
        <w:rPr>
          <w:spacing w:val="-3"/>
          <w:sz w:val="24"/>
        </w:rPr>
        <w:t xml:space="preserve">sous plis fermées dans </w:t>
      </w:r>
      <w:r w:rsidRPr="00FA20EC">
        <w:rPr>
          <w:sz w:val="24"/>
        </w:rPr>
        <w:t xml:space="preserve">la </w:t>
      </w:r>
      <w:r w:rsidRPr="00FA20EC">
        <w:rPr>
          <w:spacing w:val="-3"/>
          <w:sz w:val="24"/>
        </w:rPr>
        <w:t xml:space="preserve">Boite </w:t>
      </w:r>
      <w:r w:rsidRPr="00FA20EC">
        <w:rPr>
          <w:sz w:val="24"/>
        </w:rPr>
        <w:t xml:space="preserve">d’ </w:t>
      </w:r>
      <w:r w:rsidRPr="00FA20EC">
        <w:rPr>
          <w:spacing w:val="-3"/>
          <w:sz w:val="24"/>
        </w:rPr>
        <w:t xml:space="preserve">Appels d’Offres de </w:t>
      </w:r>
      <w:r w:rsidRPr="00FA20EC">
        <w:rPr>
          <w:sz w:val="24"/>
        </w:rPr>
        <w:t xml:space="preserve">la </w:t>
      </w:r>
      <w:r w:rsidRPr="00FA20EC">
        <w:rPr>
          <w:spacing w:val="-3"/>
          <w:sz w:val="24"/>
        </w:rPr>
        <w:t xml:space="preserve">Cour de </w:t>
      </w:r>
      <w:r w:rsidRPr="00FA20EC">
        <w:rPr>
          <w:spacing w:val="-4"/>
          <w:sz w:val="24"/>
        </w:rPr>
        <w:t xml:space="preserve">Justice </w:t>
      </w:r>
      <w:r w:rsidRPr="00FA20EC">
        <w:rPr>
          <w:sz w:val="24"/>
        </w:rPr>
        <w:t xml:space="preserve">e la </w:t>
      </w:r>
      <w:r w:rsidRPr="00FA20EC">
        <w:rPr>
          <w:spacing w:val="-3"/>
          <w:sz w:val="24"/>
        </w:rPr>
        <w:t xml:space="preserve">CEDEAO située </w:t>
      </w:r>
      <w:r w:rsidRPr="00720675">
        <w:rPr>
          <w:sz w:val="24"/>
        </w:rPr>
        <w:t xml:space="preserve">au niveau </w:t>
      </w:r>
      <w:r w:rsidR="00650DB6" w:rsidRPr="00B23B6B">
        <w:rPr>
          <w:b/>
          <w:sz w:val="24"/>
        </w:rPr>
        <w:t>bureau de l'Annexe, Direction de l'Administration et des Finances, Cour de Justice de la CEDEAO, 23 Agadez Street, Wuse 2, Abuja,</w:t>
      </w:r>
      <w:r w:rsidR="00650DB6" w:rsidRPr="00720675">
        <w:rPr>
          <w:sz w:val="24"/>
        </w:rPr>
        <w:t xml:space="preserve"> République Fédérale du Nigeria,</w:t>
      </w:r>
      <w:r w:rsidR="00650DB6" w:rsidRPr="00FA20EC">
        <w:rPr>
          <w:b/>
          <w:sz w:val="24"/>
        </w:rPr>
        <w:t xml:space="preserve"> </w:t>
      </w:r>
      <w:r w:rsidR="00650DB6" w:rsidRPr="00720675">
        <w:rPr>
          <w:sz w:val="24"/>
        </w:rPr>
        <w:t>au plus tard</w:t>
      </w:r>
      <w:r w:rsidR="00650DB6" w:rsidRPr="00FA20EC">
        <w:rPr>
          <w:b/>
          <w:sz w:val="24"/>
        </w:rPr>
        <w:t xml:space="preserve"> le </w:t>
      </w:r>
      <w:r w:rsidR="0077117C">
        <w:rPr>
          <w:b/>
          <w:sz w:val="24"/>
        </w:rPr>
        <w:t>lun</w:t>
      </w:r>
      <w:r w:rsidR="00650DB6" w:rsidRPr="00FA20EC">
        <w:rPr>
          <w:b/>
          <w:sz w:val="24"/>
        </w:rPr>
        <w:t xml:space="preserve">di </w:t>
      </w:r>
      <w:r w:rsidR="0077117C">
        <w:rPr>
          <w:b/>
          <w:sz w:val="24"/>
        </w:rPr>
        <w:t>17</w:t>
      </w:r>
      <w:r w:rsidR="00650DB6" w:rsidRPr="00FA20EC">
        <w:rPr>
          <w:b/>
          <w:sz w:val="24"/>
        </w:rPr>
        <w:t xml:space="preserve"> mai 2021</w:t>
      </w:r>
      <w:r w:rsidRPr="00FA20EC">
        <w:rPr>
          <w:b/>
          <w:sz w:val="24"/>
        </w:rPr>
        <w:t xml:space="preserve">, à 11h 00 </w:t>
      </w:r>
      <w:proofErr w:type="spellStart"/>
      <w:r w:rsidRPr="00FA20EC">
        <w:rPr>
          <w:b/>
          <w:sz w:val="24"/>
        </w:rPr>
        <w:t>am</w:t>
      </w:r>
      <w:proofErr w:type="spellEnd"/>
      <w:r w:rsidRPr="00FA20EC">
        <w:rPr>
          <w:b/>
          <w:sz w:val="24"/>
        </w:rPr>
        <w:t xml:space="preserve"> (heure du Nigéria, GMT+1) </w:t>
      </w:r>
      <w:r w:rsidRPr="00FA20EC">
        <w:rPr>
          <w:sz w:val="24"/>
        </w:rPr>
        <w:t xml:space="preserve">et </w:t>
      </w:r>
      <w:r w:rsidRPr="00FA20EC">
        <w:rPr>
          <w:spacing w:val="-3"/>
          <w:sz w:val="24"/>
        </w:rPr>
        <w:t xml:space="preserve">porter </w:t>
      </w:r>
      <w:r w:rsidRPr="00FA20EC">
        <w:rPr>
          <w:sz w:val="24"/>
        </w:rPr>
        <w:t xml:space="preserve">la </w:t>
      </w:r>
      <w:r w:rsidRPr="00FA20EC">
        <w:rPr>
          <w:spacing w:val="-3"/>
          <w:sz w:val="24"/>
        </w:rPr>
        <w:t xml:space="preserve">mention </w:t>
      </w:r>
      <w:r w:rsidRPr="008C74C1">
        <w:rPr>
          <w:spacing w:val="-3"/>
          <w:sz w:val="24"/>
        </w:rPr>
        <w:t xml:space="preserve">‘Appel d’Offres </w:t>
      </w:r>
      <w:r w:rsidRPr="008C74C1">
        <w:rPr>
          <w:spacing w:val="-4"/>
          <w:sz w:val="24"/>
        </w:rPr>
        <w:t>International</w:t>
      </w:r>
      <w:r w:rsidRPr="008C74C1">
        <w:rPr>
          <w:spacing w:val="62"/>
          <w:sz w:val="24"/>
        </w:rPr>
        <w:t xml:space="preserve"> </w:t>
      </w:r>
      <w:r w:rsidRPr="008C74C1">
        <w:rPr>
          <w:sz w:val="24"/>
        </w:rPr>
        <w:t xml:space="preserve">pour la </w:t>
      </w:r>
      <w:r w:rsidRPr="008C74C1">
        <w:rPr>
          <w:spacing w:val="-4"/>
          <w:sz w:val="24"/>
        </w:rPr>
        <w:t xml:space="preserve">réhabilitation </w:t>
      </w:r>
      <w:r w:rsidRPr="008C74C1">
        <w:rPr>
          <w:spacing w:val="-3"/>
          <w:sz w:val="24"/>
        </w:rPr>
        <w:t xml:space="preserve">des nouveaux Bureaux de </w:t>
      </w:r>
      <w:r w:rsidRPr="008C74C1">
        <w:rPr>
          <w:sz w:val="24"/>
        </w:rPr>
        <w:t xml:space="preserve">la Cour de </w:t>
      </w:r>
      <w:r w:rsidRPr="008C74C1">
        <w:rPr>
          <w:spacing w:val="-3"/>
          <w:sz w:val="24"/>
        </w:rPr>
        <w:t xml:space="preserve">Justice </w:t>
      </w:r>
      <w:r w:rsidRPr="008C74C1">
        <w:rPr>
          <w:sz w:val="24"/>
        </w:rPr>
        <w:t xml:space="preserve">de la </w:t>
      </w:r>
      <w:r w:rsidRPr="008C74C1">
        <w:rPr>
          <w:spacing w:val="-3"/>
          <w:sz w:val="24"/>
        </w:rPr>
        <w:t xml:space="preserve">CEDEAO </w:t>
      </w:r>
      <w:r w:rsidRPr="008C74C1">
        <w:rPr>
          <w:sz w:val="24"/>
        </w:rPr>
        <w:t xml:space="preserve">à </w:t>
      </w:r>
      <w:r w:rsidRPr="008C74C1">
        <w:rPr>
          <w:spacing w:val="-3"/>
          <w:sz w:val="24"/>
        </w:rPr>
        <w:t xml:space="preserve">Abuja </w:t>
      </w:r>
      <w:r w:rsidRPr="008C74C1">
        <w:rPr>
          <w:sz w:val="24"/>
        </w:rPr>
        <w:t xml:space="preserve">, </w:t>
      </w:r>
      <w:r w:rsidR="00C42713" w:rsidRPr="008C74C1">
        <w:rPr>
          <w:spacing w:val="-3"/>
          <w:sz w:val="24"/>
        </w:rPr>
        <w:t>Nigeria</w:t>
      </w:r>
      <w:r w:rsidRPr="008C74C1">
        <w:rPr>
          <w:sz w:val="24"/>
        </w:rPr>
        <w:t>.</w:t>
      </w:r>
      <w:r w:rsidR="00C42713" w:rsidRPr="008C74C1">
        <w:rPr>
          <w:sz w:val="24"/>
        </w:rPr>
        <w:t xml:space="preserve"> </w:t>
      </w:r>
      <w:r w:rsidRPr="00AC38ED">
        <w:rPr>
          <w:sz w:val="24"/>
        </w:rPr>
        <w:t>A n’ouvrir qu’en</w:t>
      </w:r>
      <w:r w:rsidRPr="00AC38ED">
        <w:rPr>
          <w:spacing w:val="44"/>
          <w:sz w:val="24"/>
        </w:rPr>
        <w:t xml:space="preserve"> </w:t>
      </w:r>
      <w:r w:rsidRPr="00AC38ED">
        <w:rPr>
          <w:sz w:val="24"/>
        </w:rPr>
        <w:t>présence</w:t>
      </w:r>
      <w:r w:rsidR="00FA20EC" w:rsidRPr="00AC38ED">
        <w:rPr>
          <w:sz w:val="24"/>
        </w:rPr>
        <w:t xml:space="preserve"> </w:t>
      </w:r>
      <w:r w:rsidRPr="00AC38ED">
        <w:rPr>
          <w:rFonts w:ascii="Times New Roman" w:hAnsi="Times New Roman"/>
          <w:spacing w:val="-60"/>
          <w:sz w:val="24"/>
        </w:rPr>
        <w:t xml:space="preserve"> </w:t>
      </w:r>
      <w:r w:rsidRPr="00AC38ED">
        <w:rPr>
          <w:sz w:val="24"/>
        </w:rPr>
        <w:t>du Comité d’évaluation ’.</w:t>
      </w:r>
    </w:p>
    <w:p w:rsidR="00650DB6" w:rsidRPr="00AC38ED" w:rsidRDefault="00650DB6" w:rsidP="00C42713">
      <w:pPr>
        <w:tabs>
          <w:tab w:val="left" w:pos="636"/>
        </w:tabs>
        <w:spacing w:line="263" w:lineRule="exact"/>
        <w:ind w:left="630"/>
        <w:rPr>
          <w:b/>
          <w:sz w:val="4"/>
          <w:szCs w:val="4"/>
        </w:rPr>
      </w:pPr>
    </w:p>
    <w:p w:rsidR="00720675" w:rsidRDefault="00720675" w:rsidP="00720675">
      <w:pPr>
        <w:pStyle w:val="NoSpacing"/>
        <w:numPr>
          <w:ilvl w:val="0"/>
          <w:numId w:val="2"/>
        </w:numPr>
        <w:ind w:left="630" w:right="160" w:hanging="530"/>
        <w:jc w:val="both"/>
        <w:rPr>
          <w:b/>
        </w:rPr>
      </w:pPr>
      <w:r w:rsidRPr="00FA20EC">
        <w:t>En considération de la pandémie de covid-19, les offres seront ouvertes en présence des soumissionnaires qui souhaitent y assister via la plate-forme virtuelle</w:t>
      </w:r>
      <w:r>
        <w:t xml:space="preserve"> </w:t>
      </w:r>
      <w:r w:rsidRPr="00720675">
        <w:rPr>
          <w:b/>
        </w:rPr>
        <w:t xml:space="preserve">le </w:t>
      </w:r>
      <w:r w:rsidR="0077117C">
        <w:rPr>
          <w:b/>
        </w:rPr>
        <w:t>lundi</w:t>
      </w:r>
      <w:r w:rsidRPr="00720675">
        <w:rPr>
          <w:b/>
        </w:rPr>
        <w:t xml:space="preserve"> </w:t>
      </w:r>
      <w:r w:rsidR="0077117C">
        <w:rPr>
          <w:b/>
        </w:rPr>
        <w:t>17</w:t>
      </w:r>
      <w:bookmarkStart w:id="0" w:name="_GoBack"/>
      <w:bookmarkEnd w:id="0"/>
      <w:r w:rsidRPr="00720675">
        <w:rPr>
          <w:b/>
        </w:rPr>
        <w:t xml:space="preserve"> mai 2021 à 11h 30 pm (heure du Nigeria, GMT +1).</w:t>
      </w:r>
      <w:r w:rsidRPr="00FA20EC">
        <w:t xml:space="preserve"> Tous les soumissionnaires intéressés doivent demander les détails de la plate-forme virtuelle au moins un jour avant la date d'ouverture.</w:t>
      </w:r>
    </w:p>
    <w:p w:rsidR="00720675" w:rsidRPr="00AC38ED" w:rsidRDefault="00720675" w:rsidP="006A10DC">
      <w:pPr>
        <w:pStyle w:val="Heading1"/>
        <w:spacing w:line="475" w:lineRule="auto"/>
        <w:ind w:right="1273"/>
        <w:rPr>
          <w:rFonts w:ascii="Tahoma" w:hAnsi="Tahoma"/>
          <w:sz w:val="8"/>
          <w:szCs w:val="8"/>
        </w:rPr>
      </w:pPr>
    </w:p>
    <w:p w:rsidR="00210A86" w:rsidRDefault="00720675" w:rsidP="006A10DC">
      <w:pPr>
        <w:pStyle w:val="Heading1"/>
        <w:spacing w:line="475" w:lineRule="auto"/>
        <w:ind w:right="1273"/>
        <w:rPr>
          <w:b w:val="0"/>
          <w:sz w:val="16"/>
        </w:rPr>
      </w:pPr>
      <w:r>
        <w:rPr>
          <w:rFonts w:ascii="Tahoma" w:hAnsi="Tahoma"/>
        </w:rPr>
        <w:t xml:space="preserve">  </w:t>
      </w:r>
      <w:r w:rsidR="00D862C7">
        <w:rPr>
          <w:rFonts w:ascii="Tahoma" w:hAnsi="Tahoma"/>
        </w:rPr>
        <w:t xml:space="preserve">      </w:t>
      </w:r>
      <w:r w:rsidR="00FA20EC">
        <w:rPr>
          <w:rFonts w:ascii="Tahoma" w:hAnsi="Tahoma"/>
        </w:rPr>
        <w:t xml:space="preserve">Le </w:t>
      </w:r>
      <w:r w:rsidR="00CC31E2">
        <w:rPr>
          <w:rFonts w:ascii="Tahoma" w:hAnsi="Tahoma"/>
        </w:rPr>
        <w:t>Président de la Cour de Justice de la CEDEAO</w:t>
      </w:r>
    </w:p>
    <w:sectPr w:rsidR="00210A86" w:rsidSect="00720675">
      <w:pgSz w:w="11910" w:h="16840"/>
      <w:pgMar w:top="63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D2A57"/>
    <w:multiLevelType w:val="hybridMultilevel"/>
    <w:tmpl w:val="EE2245B4"/>
    <w:lvl w:ilvl="0" w:tplc="6104473C">
      <w:numFmt w:val="bullet"/>
      <w:lvlText w:val="-"/>
      <w:lvlJc w:val="left"/>
      <w:pPr>
        <w:ind w:left="820" w:hanging="360"/>
      </w:pPr>
      <w:rPr>
        <w:rFonts w:ascii="Times New Roman" w:eastAsia="Times New Roman" w:hAnsi="Times New Roman" w:cs="Times New Roman" w:hint="default"/>
        <w:spacing w:val="-2"/>
        <w:w w:val="99"/>
        <w:sz w:val="24"/>
        <w:szCs w:val="24"/>
        <w:lang w:val="fr-FR" w:eastAsia="en-US" w:bidi="ar-SA"/>
      </w:rPr>
    </w:lvl>
    <w:lvl w:ilvl="1" w:tplc="5CD23AEE">
      <w:numFmt w:val="bullet"/>
      <w:lvlText w:val="•"/>
      <w:lvlJc w:val="left"/>
      <w:pPr>
        <w:ind w:left="1662" w:hanging="360"/>
      </w:pPr>
      <w:rPr>
        <w:rFonts w:hint="default"/>
        <w:lang w:val="fr-FR" w:eastAsia="en-US" w:bidi="ar-SA"/>
      </w:rPr>
    </w:lvl>
    <w:lvl w:ilvl="2" w:tplc="3C9A538E">
      <w:numFmt w:val="bullet"/>
      <w:lvlText w:val="•"/>
      <w:lvlJc w:val="left"/>
      <w:pPr>
        <w:ind w:left="2505" w:hanging="360"/>
      </w:pPr>
      <w:rPr>
        <w:rFonts w:hint="default"/>
        <w:lang w:val="fr-FR" w:eastAsia="en-US" w:bidi="ar-SA"/>
      </w:rPr>
    </w:lvl>
    <w:lvl w:ilvl="3" w:tplc="DC0AED06">
      <w:numFmt w:val="bullet"/>
      <w:lvlText w:val="•"/>
      <w:lvlJc w:val="left"/>
      <w:pPr>
        <w:ind w:left="3347" w:hanging="360"/>
      </w:pPr>
      <w:rPr>
        <w:rFonts w:hint="default"/>
        <w:lang w:val="fr-FR" w:eastAsia="en-US" w:bidi="ar-SA"/>
      </w:rPr>
    </w:lvl>
    <w:lvl w:ilvl="4" w:tplc="BAF02428">
      <w:numFmt w:val="bullet"/>
      <w:lvlText w:val="•"/>
      <w:lvlJc w:val="left"/>
      <w:pPr>
        <w:ind w:left="4190" w:hanging="360"/>
      </w:pPr>
      <w:rPr>
        <w:rFonts w:hint="default"/>
        <w:lang w:val="fr-FR" w:eastAsia="en-US" w:bidi="ar-SA"/>
      </w:rPr>
    </w:lvl>
    <w:lvl w:ilvl="5" w:tplc="96967DE4">
      <w:numFmt w:val="bullet"/>
      <w:lvlText w:val="•"/>
      <w:lvlJc w:val="left"/>
      <w:pPr>
        <w:ind w:left="5033" w:hanging="360"/>
      </w:pPr>
      <w:rPr>
        <w:rFonts w:hint="default"/>
        <w:lang w:val="fr-FR" w:eastAsia="en-US" w:bidi="ar-SA"/>
      </w:rPr>
    </w:lvl>
    <w:lvl w:ilvl="6" w:tplc="148EDB20">
      <w:numFmt w:val="bullet"/>
      <w:lvlText w:val="•"/>
      <w:lvlJc w:val="left"/>
      <w:pPr>
        <w:ind w:left="5875" w:hanging="360"/>
      </w:pPr>
      <w:rPr>
        <w:rFonts w:hint="default"/>
        <w:lang w:val="fr-FR" w:eastAsia="en-US" w:bidi="ar-SA"/>
      </w:rPr>
    </w:lvl>
    <w:lvl w:ilvl="7" w:tplc="ED6AB306">
      <w:numFmt w:val="bullet"/>
      <w:lvlText w:val="•"/>
      <w:lvlJc w:val="left"/>
      <w:pPr>
        <w:ind w:left="6718" w:hanging="360"/>
      </w:pPr>
      <w:rPr>
        <w:rFonts w:hint="default"/>
        <w:lang w:val="fr-FR" w:eastAsia="en-US" w:bidi="ar-SA"/>
      </w:rPr>
    </w:lvl>
    <w:lvl w:ilvl="8" w:tplc="791A62A4">
      <w:numFmt w:val="bullet"/>
      <w:lvlText w:val="•"/>
      <w:lvlJc w:val="left"/>
      <w:pPr>
        <w:ind w:left="7561" w:hanging="360"/>
      </w:pPr>
      <w:rPr>
        <w:rFonts w:hint="default"/>
        <w:lang w:val="fr-FR" w:eastAsia="en-US" w:bidi="ar-SA"/>
      </w:rPr>
    </w:lvl>
  </w:abstractNum>
  <w:abstractNum w:abstractNumId="1" w15:restartNumberingAfterBreak="0">
    <w:nsid w:val="4CFA5E20"/>
    <w:multiLevelType w:val="hybridMultilevel"/>
    <w:tmpl w:val="105284F8"/>
    <w:lvl w:ilvl="0" w:tplc="A3F44348">
      <w:start w:val="1"/>
      <w:numFmt w:val="decimal"/>
      <w:lvlText w:val="%1."/>
      <w:lvlJc w:val="left"/>
      <w:pPr>
        <w:ind w:left="782" w:hanging="682"/>
        <w:jc w:val="right"/>
      </w:pPr>
      <w:rPr>
        <w:rFonts w:hint="default"/>
        <w:b w:val="0"/>
        <w:spacing w:val="-5"/>
        <w:w w:val="96"/>
        <w:lang w:val="fr-FR" w:eastAsia="en-US" w:bidi="ar-SA"/>
      </w:rPr>
    </w:lvl>
    <w:lvl w:ilvl="1" w:tplc="B41C13D6">
      <w:numFmt w:val="bullet"/>
      <w:lvlText w:val=""/>
      <w:lvlJc w:val="left"/>
      <w:pPr>
        <w:ind w:left="894" w:hanging="360"/>
      </w:pPr>
      <w:rPr>
        <w:rFonts w:ascii="Wingdings" w:eastAsia="Wingdings" w:hAnsi="Wingdings" w:cs="Wingdings" w:hint="default"/>
        <w:w w:val="100"/>
        <w:sz w:val="24"/>
        <w:szCs w:val="24"/>
        <w:lang w:val="fr-FR" w:eastAsia="en-US" w:bidi="ar-SA"/>
      </w:rPr>
    </w:lvl>
    <w:lvl w:ilvl="2" w:tplc="7D386B98">
      <w:numFmt w:val="bullet"/>
      <w:lvlText w:val="•"/>
      <w:lvlJc w:val="left"/>
      <w:pPr>
        <w:ind w:left="1827" w:hanging="360"/>
      </w:pPr>
      <w:rPr>
        <w:rFonts w:hint="default"/>
        <w:lang w:val="fr-FR" w:eastAsia="en-US" w:bidi="ar-SA"/>
      </w:rPr>
    </w:lvl>
    <w:lvl w:ilvl="3" w:tplc="1C60DC3E">
      <w:numFmt w:val="bullet"/>
      <w:lvlText w:val="•"/>
      <w:lvlJc w:val="left"/>
      <w:pPr>
        <w:ind w:left="2754" w:hanging="360"/>
      </w:pPr>
      <w:rPr>
        <w:rFonts w:hint="default"/>
        <w:lang w:val="fr-FR" w:eastAsia="en-US" w:bidi="ar-SA"/>
      </w:rPr>
    </w:lvl>
    <w:lvl w:ilvl="4" w:tplc="C5226460">
      <w:numFmt w:val="bullet"/>
      <w:lvlText w:val="•"/>
      <w:lvlJc w:val="left"/>
      <w:pPr>
        <w:ind w:left="3682" w:hanging="360"/>
      </w:pPr>
      <w:rPr>
        <w:rFonts w:hint="default"/>
        <w:lang w:val="fr-FR" w:eastAsia="en-US" w:bidi="ar-SA"/>
      </w:rPr>
    </w:lvl>
    <w:lvl w:ilvl="5" w:tplc="3F389E50">
      <w:numFmt w:val="bullet"/>
      <w:lvlText w:val="•"/>
      <w:lvlJc w:val="left"/>
      <w:pPr>
        <w:ind w:left="4609" w:hanging="360"/>
      </w:pPr>
      <w:rPr>
        <w:rFonts w:hint="default"/>
        <w:lang w:val="fr-FR" w:eastAsia="en-US" w:bidi="ar-SA"/>
      </w:rPr>
    </w:lvl>
    <w:lvl w:ilvl="6" w:tplc="CE88EC14">
      <w:numFmt w:val="bullet"/>
      <w:lvlText w:val="•"/>
      <w:lvlJc w:val="left"/>
      <w:pPr>
        <w:ind w:left="5536" w:hanging="360"/>
      </w:pPr>
      <w:rPr>
        <w:rFonts w:hint="default"/>
        <w:lang w:val="fr-FR" w:eastAsia="en-US" w:bidi="ar-SA"/>
      </w:rPr>
    </w:lvl>
    <w:lvl w:ilvl="7" w:tplc="6D608FCE">
      <w:numFmt w:val="bullet"/>
      <w:lvlText w:val="•"/>
      <w:lvlJc w:val="left"/>
      <w:pPr>
        <w:ind w:left="6464" w:hanging="360"/>
      </w:pPr>
      <w:rPr>
        <w:rFonts w:hint="default"/>
        <w:lang w:val="fr-FR" w:eastAsia="en-US" w:bidi="ar-SA"/>
      </w:rPr>
    </w:lvl>
    <w:lvl w:ilvl="8" w:tplc="3A121038">
      <w:numFmt w:val="bullet"/>
      <w:lvlText w:val="•"/>
      <w:lvlJc w:val="left"/>
      <w:pPr>
        <w:ind w:left="7391" w:hanging="36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86"/>
    <w:rsid w:val="000666C1"/>
    <w:rsid w:val="00210A86"/>
    <w:rsid w:val="00346876"/>
    <w:rsid w:val="00520ECD"/>
    <w:rsid w:val="0052153D"/>
    <w:rsid w:val="00523F54"/>
    <w:rsid w:val="005507C5"/>
    <w:rsid w:val="00650DB6"/>
    <w:rsid w:val="006A10DC"/>
    <w:rsid w:val="00720675"/>
    <w:rsid w:val="007443A7"/>
    <w:rsid w:val="007521DB"/>
    <w:rsid w:val="0077117C"/>
    <w:rsid w:val="007A7424"/>
    <w:rsid w:val="008C74C1"/>
    <w:rsid w:val="00A60B5D"/>
    <w:rsid w:val="00A73828"/>
    <w:rsid w:val="00AC38ED"/>
    <w:rsid w:val="00AC7C84"/>
    <w:rsid w:val="00B23B6B"/>
    <w:rsid w:val="00B7023A"/>
    <w:rsid w:val="00BB1A7F"/>
    <w:rsid w:val="00C42713"/>
    <w:rsid w:val="00C44BC0"/>
    <w:rsid w:val="00CC31E2"/>
    <w:rsid w:val="00D862C7"/>
    <w:rsid w:val="00DB2CE5"/>
    <w:rsid w:val="00DD51F3"/>
    <w:rsid w:val="00FA2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70361-6E63-4A64-8B37-644D1B6A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fr-FR"/>
    </w:rPr>
  </w:style>
  <w:style w:type="paragraph" w:styleId="Heading1">
    <w:name w:val="heading 1"/>
    <w:basedOn w:val="Normal"/>
    <w:uiPriority w:val="1"/>
    <w:qFormat/>
    <w:pPr>
      <w:ind w:left="820" w:hanging="36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
    <w:qFormat/>
    <w:pPr>
      <w:spacing w:before="1"/>
      <w:ind w:left="1244" w:right="1262"/>
      <w:jc w:val="center"/>
    </w:pPr>
    <w:rPr>
      <w:b/>
      <w:bCs/>
      <w:sz w:val="36"/>
      <w:szCs w:val="36"/>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1E2"/>
    <w:rPr>
      <w:rFonts w:ascii="Segoe UI" w:eastAsia="Tahoma" w:hAnsi="Segoe UI" w:cs="Segoe UI"/>
      <w:sz w:val="18"/>
      <w:szCs w:val="18"/>
      <w:lang w:val="fr-FR"/>
    </w:rPr>
  </w:style>
  <w:style w:type="paragraph" w:styleId="NoSpacing">
    <w:name w:val="No Spacing"/>
    <w:uiPriority w:val="1"/>
    <w:qFormat/>
    <w:rsid w:val="007521DB"/>
    <w:rPr>
      <w:rFonts w:ascii="Tahoma" w:eastAsia="Tahoma" w:hAnsi="Tahoma" w:cs="Tahoma"/>
      <w:lang w:val="fr-FR"/>
    </w:rPr>
  </w:style>
  <w:style w:type="character" w:styleId="Hyperlink">
    <w:name w:val="Hyperlink"/>
    <w:basedOn w:val="DefaultParagraphFont"/>
    <w:uiPriority w:val="99"/>
    <w:unhideWhenUsed/>
    <w:rsid w:val="00066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64154">
      <w:bodyDiv w:val="1"/>
      <w:marLeft w:val="0"/>
      <w:marRight w:val="0"/>
      <w:marTop w:val="0"/>
      <w:marBottom w:val="0"/>
      <w:divBdr>
        <w:top w:val="none" w:sz="0" w:space="0" w:color="auto"/>
        <w:left w:val="none" w:sz="0" w:space="0" w:color="auto"/>
        <w:bottom w:val="none" w:sz="0" w:space="0" w:color="auto"/>
        <w:right w:val="none" w:sz="0" w:space="0" w:color="auto"/>
      </w:divBdr>
    </w:div>
    <w:div w:id="202913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_towah@yahoo.com" TargetMode="External"/><Relationship Id="rId3" Type="http://schemas.openxmlformats.org/officeDocument/2006/relationships/settings" Target="settings.xml"/><Relationship Id="rId7" Type="http://schemas.openxmlformats.org/officeDocument/2006/relationships/hyperlink" Target="mailto:wtowah@courtecow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Seydou Kassory Mohamed BANGOURA</dc:creator>
  <cp:lastModifiedBy>Charles B. IMAH</cp:lastModifiedBy>
  <cp:revision>7</cp:revision>
  <cp:lastPrinted>2021-03-09T18:17:00Z</cp:lastPrinted>
  <dcterms:created xsi:type="dcterms:W3CDTF">2021-03-09T18:15:00Z</dcterms:created>
  <dcterms:modified xsi:type="dcterms:W3CDTF">2021-03-11T18:36:00Z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Microsoft® Word 2013</vt:lpwstr>
  </property>
  <property fmtid="{D5CDD505-2E9C-101B-9397-08002B2CF9AE}" pid="4" name="LastSaved">
    <vt:filetime>2020-12-18T00:00:00Z</vt:filetime>
  </property>
</Properties>
</file>